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73E" w14:textId="77777777" w:rsidR="00A85F30" w:rsidRPr="00D919A6" w:rsidRDefault="00A85F30" w:rsidP="00D11F54">
      <w:pPr>
        <w:tabs>
          <w:tab w:val="left" w:pos="990"/>
        </w:tabs>
        <w:rPr>
          <w:rFonts w:ascii="Times New Roman" w:hAnsi="Times New Roman" w:cs="Times New Roman"/>
          <w:b/>
          <w:sz w:val="36"/>
          <w:szCs w:val="32"/>
        </w:rPr>
      </w:pPr>
      <w:r w:rsidRPr="00327AF3">
        <w:rPr>
          <w:noProof/>
          <w:sz w:val="32"/>
          <w:szCs w:val="32"/>
        </w:rPr>
        <w:drawing>
          <wp:anchor distT="0" distB="0" distL="114300" distR="114300" simplePos="0" relativeHeight="251656704" behindDoc="1" locked="0" layoutInCell="1" allowOverlap="1" wp14:anchorId="385BEB86" wp14:editId="39674AF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0B26A159" w14:textId="4CE1A1B3" w:rsidR="00A85F30" w:rsidRPr="007936B6" w:rsidRDefault="006B7C7C" w:rsidP="00D11F54">
      <w:pPr>
        <w:pBdr>
          <w:bottom w:val="single" w:sz="4" w:space="1" w:color="auto"/>
        </w:pBdr>
        <w:tabs>
          <w:tab w:val="left" w:pos="990"/>
        </w:tabs>
        <w:ind w:left="990"/>
        <w:rPr>
          <w:rFonts w:cs="Times New Roman"/>
          <w:b/>
          <w:bCs/>
          <w:sz w:val="28"/>
          <w:szCs w:val="28"/>
        </w:rPr>
      </w:pPr>
      <w:r w:rsidRPr="007936B6">
        <w:rPr>
          <w:rFonts w:ascii="Times New Roman" w:hAnsi="Times New Roman" w:cs="Times New Roman"/>
          <w:b/>
          <w:sz w:val="28"/>
          <w:szCs w:val="28"/>
        </w:rPr>
        <w:t xml:space="preserve">Guidance for Allocation of </w:t>
      </w:r>
      <w:r w:rsidR="00A85F30" w:rsidRPr="007936B6">
        <w:rPr>
          <w:rFonts w:ascii="Times New Roman" w:hAnsi="Times New Roman" w:cs="Times New Roman"/>
          <w:b/>
          <w:sz w:val="28"/>
          <w:szCs w:val="28"/>
        </w:rPr>
        <w:t>COVID-19</w:t>
      </w:r>
      <w:r w:rsidR="00953DC8" w:rsidRPr="007936B6">
        <w:rPr>
          <w:rFonts w:ascii="Times New Roman" w:hAnsi="Times New Roman" w:cs="Times New Roman"/>
          <w:b/>
          <w:sz w:val="28"/>
          <w:szCs w:val="28"/>
        </w:rPr>
        <w:t xml:space="preserve"> Monoclonal Antibody</w:t>
      </w:r>
      <w:r w:rsidR="00A85F30" w:rsidRPr="007936B6">
        <w:rPr>
          <w:rFonts w:ascii="Times New Roman" w:hAnsi="Times New Roman" w:cs="Times New Roman"/>
          <w:b/>
          <w:sz w:val="28"/>
          <w:szCs w:val="28"/>
        </w:rPr>
        <w:t xml:space="preserve"> Therapeutics </w:t>
      </w:r>
      <w:r w:rsidR="00807CAB">
        <w:rPr>
          <w:rFonts w:ascii="Times New Roman" w:hAnsi="Times New Roman" w:cs="Times New Roman"/>
          <w:b/>
          <w:sz w:val="28"/>
          <w:szCs w:val="28"/>
        </w:rPr>
        <w:t>in Non-Hospital Settings</w:t>
      </w:r>
      <w:r w:rsidR="00807CAB">
        <w:rPr>
          <w:rFonts w:ascii="Times New Roman" w:hAnsi="Times New Roman" w:cs="Times New Roman"/>
          <w:b/>
          <w:sz w:val="28"/>
          <w:szCs w:val="28"/>
        </w:rPr>
        <w:tab/>
      </w:r>
      <w:r w:rsidR="008C54A1">
        <w:rPr>
          <w:rFonts w:ascii="Times New Roman" w:hAnsi="Times New Roman" w:cs="Times New Roman"/>
          <w:b/>
          <w:sz w:val="28"/>
          <w:szCs w:val="28"/>
        </w:rPr>
        <w:tab/>
        <w:t xml:space="preserve">      </w:t>
      </w:r>
      <w:r w:rsidR="00807CAB">
        <w:rPr>
          <w:rFonts w:ascii="Times New Roman" w:hAnsi="Times New Roman" w:cs="Times New Roman"/>
          <w:b/>
          <w:sz w:val="28"/>
          <w:szCs w:val="28"/>
        </w:rPr>
        <w:t xml:space="preserve">January </w:t>
      </w:r>
      <w:r w:rsidR="00CC6F33">
        <w:rPr>
          <w:rFonts w:ascii="Times New Roman" w:hAnsi="Times New Roman" w:cs="Times New Roman"/>
          <w:b/>
          <w:sz w:val="28"/>
          <w:szCs w:val="28"/>
        </w:rPr>
        <w:t>13</w:t>
      </w:r>
      <w:r w:rsidR="00807CAB">
        <w:rPr>
          <w:rFonts w:ascii="Times New Roman" w:hAnsi="Times New Roman" w:cs="Times New Roman"/>
          <w:b/>
          <w:sz w:val="28"/>
          <w:szCs w:val="28"/>
        </w:rPr>
        <w:t>, 2021</w:t>
      </w:r>
    </w:p>
    <w:p w14:paraId="48D7E197" w14:textId="77777777" w:rsidR="00A37DB2" w:rsidRDefault="00A37DB2" w:rsidP="00FF0122">
      <w:pPr>
        <w:shd w:val="clear" w:color="auto" w:fill="FFFFFF"/>
        <w:spacing w:after="120"/>
        <w:rPr>
          <w:bCs/>
        </w:rPr>
      </w:pPr>
    </w:p>
    <w:p w14:paraId="31C7DE68" w14:textId="2B931C90" w:rsidR="00121DF0" w:rsidRDefault="00A85F30" w:rsidP="00690424">
      <w:pPr>
        <w:shd w:val="clear" w:color="auto" w:fill="FFFFFF"/>
        <w:rPr>
          <w:rFonts w:ascii="Calibri" w:eastAsia="Times New Roman" w:hAnsi="Calibri" w:cs="Calibri"/>
          <w:bCs/>
          <w:color w:val="212121"/>
        </w:rPr>
      </w:pPr>
      <w:r>
        <w:rPr>
          <w:bCs/>
        </w:rPr>
        <w:t>T</w:t>
      </w:r>
      <w:r w:rsidRPr="00D11F54">
        <w:rPr>
          <w:bCs/>
        </w:rPr>
        <w:t>he U.S. Food and Drug Administration</w:t>
      </w:r>
      <w:r>
        <w:rPr>
          <w:bCs/>
        </w:rPr>
        <w:t xml:space="preserve"> (FDA) has</w:t>
      </w:r>
      <w:r w:rsidRPr="00D11F54">
        <w:rPr>
          <w:bCs/>
        </w:rPr>
        <w:t xml:space="preserve"> issued emergency use authorization (EUA) for </w:t>
      </w:r>
      <w:r>
        <w:rPr>
          <w:bCs/>
        </w:rPr>
        <w:t xml:space="preserve">two monoclonal antibody therapeutics </w:t>
      </w:r>
      <w:r w:rsidR="00121DF0" w:rsidRPr="00EA20AE">
        <w:rPr>
          <w:rFonts w:ascii="Calibri" w:eastAsia="Times New Roman" w:hAnsi="Calibri" w:cs="Calibri"/>
          <w:bCs/>
          <w:color w:val="212121"/>
        </w:rPr>
        <w:t>for treatment of early mild-to-moderate COVID-19 in high-risk patients</w:t>
      </w:r>
      <w:r w:rsidR="00121DF0">
        <w:rPr>
          <w:rFonts w:ascii="Calibri" w:eastAsia="Times New Roman" w:hAnsi="Calibri" w:cs="Calibri"/>
          <w:bCs/>
          <w:color w:val="212121"/>
        </w:rPr>
        <w:t xml:space="preserve">. </w:t>
      </w:r>
      <w:r w:rsidR="00121DF0" w:rsidRPr="00EA20AE">
        <w:rPr>
          <w:rFonts w:ascii="Calibri" w:eastAsia="Times New Roman" w:hAnsi="Calibri" w:cs="Calibri"/>
          <w:bCs/>
          <w:color w:val="212121"/>
        </w:rPr>
        <w:t>Following issuance of the EUA</w:t>
      </w:r>
      <w:r w:rsidR="00121DF0">
        <w:rPr>
          <w:rFonts w:ascii="Calibri" w:eastAsia="Times New Roman" w:hAnsi="Calibri" w:cs="Calibri"/>
          <w:bCs/>
          <w:color w:val="212121"/>
        </w:rPr>
        <w:t>s</w:t>
      </w:r>
      <w:r w:rsidR="00121DF0" w:rsidRPr="00EA20AE">
        <w:rPr>
          <w:rFonts w:ascii="Calibri" w:eastAsia="Times New Roman" w:hAnsi="Calibri" w:cs="Calibri"/>
          <w:bCs/>
          <w:color w:val="212121"/>
        </w:rPr>
        <w:t xml:space="preserve"> the federal government has begun to provide doses to states to be administered by intravenous infusion in a monitored healthcare setting. This guidance sets forth expectations for Massachusetts </w:t>
      </w:r>
      <w:r w:rsidR="00807CAB">
        <w:rPr>
          <w:rFonts w:ascii="Calibri" w:eastAsia="Times New Roman" w:hAnsi="Calibri" w:cs="Calibri"/>
          <w:bCs/>
          <w:color w:val="212121"/>
        </w:rPr>
        <w:t xml:space="preserve">long term care facilities </w:t>
      </w:r>
      <w:r w:rsidR="00121DF0" w:rsidRPr="00EA20AE">
        <w:rPr>
          <w:rFonts w:ascii="Calibri" w:eastAsia="Times New Roman" w:hAnsi="Calibri" w:cs="Calibri"/>
          <w:bCs/>
          <w:color w:val="212121"/>
        </w:rPr>
        <w:t xml:space="preserve">which elect to receive allocations of </w:t>
      </w:r>
      <w:r w:rsidR="00807CAB">
        <w:rPr>
          <w:rFonts w:ascii="Calibri" w:eastAsia="Times New Roman" w:hAnsi="Calibri" w:cs="Calibri"/>
          <w:bCs/>
          <w:color w:val="212121"/>
        </w:rPr>
        <w:t xml:space="preserve">one of </w:t>
      </w:r>
      <w:r w:rsidR="006B7C7C">
        <w:rPr>
          <w:rFonts w:ascii="Calibri" w:eastAsia="Times New Roman" w:hAnsi="Calibri" w:cs="Calibri"/>
          <w:bCs/>
          <w:color w:val="212121"/>
        </w:rPr>
        <w:t>these COVID-19 therapeutics</w:t>
      </w:r>
      <w:r w:rsidR="00807CAB">
        <w:rPr>
          <w:rFonts w:ascii="Calibri" w:eastAsia="Times New Roman" w:hAnsi="Calibri" w:cs="Calibri"/>
          <w:bCs/>
          <w:color w:val="212121"/>
        </w:rPr>
        <w:t xml:space="preserve">, </w:t>
      </w:r>
      <w:r w:rsidR="0036026B">
        <w:rPr>
          <w:rFonts w:ascii="Calibri" w:eastAsia="Times New Roman" w:hAnsi="Calibri" w:cs="Calibri"/>
          <w:bCs/>
          <w:color w:val="212121"/>
        </w:rPr>
        <w:t>b</w:t>
      </w:r>
      <w:r w:rsidR="00807CAB">
        <w:rPr>
          <w:rFonts w:ascii="Calibri" w:eastAsia="Times New Roman" w:hAnsi="Calibri" w:cs="Calibri"/>
          <w:bCs/>
          <w:color w:val="212121"/>
        </w:rPr>
        <w:t>amlanivimab</w:t>
      </w:r>
      <w:r w:rsidR="00121DF0" w:rsidRPr="00EA20AE">
        <w:rPr>
          <w:rFonts w:ascii="Calibri" w:eastAsia="Times New Roman" w:hAnsi="Calibri" w:cs="Calibri"/>
          <w:bCs/>
          <w:color w:val="212121"/>
        </w:rPr>
        <w:t>.</w:t>
      </w:r>
      <w:r w:rsidR="00373C6F">
        <w:rPr>
          <w:rFonts w:ascii="Calibri" w:eastAsia="Times New Roman" w:hAnsi="Calibri" w:cs="Calibri"/>
          <w:bCs/>
          <w:color w:val="212121"/>
        </w:rPr>
        <w:br/>
      </w:r>
      <w:r w:rsidR="00121DF0" w:rsidRPr="00EA20AE">
        <w:rPr>
          <w:rFonts w:ascii="Calibri" w:eastAsia="Times New Roman" w:hAnsi="Calibri" w:cs="Calibri"/>
          <w:bCs/>
          <w:color w:val="212121"/>
        </w:rPr>
        <w:t xml:space="preserve">  </w:t>
      </w:r>
    </w:p>
    <w:p w14:paraId="6C3C1B6D" w14:textId="45BB780F" w:rsidR="009516D6" w:rsidRDefault="009516D6" w:rsidP="00690424">
      <w:pPr>
        <w:shd w:val="clear" w:color="auto" w:fill="FFFFFF"/>
        <w:ind w:left="720"/>
        <w:rPr>
          <w:rFonts w:ascii="Calibri" w:hAnsi="Calibri" w:cs="Calibri"/>
          <w:bCs/>
          <w:color w:val="000000"/>
          <w:shd w:val="clear" w:color="auto" w:fill="FFFFFF"/>
        </w:rPr>
      </w:pPr>
      <w:r w:rsidRPr="001271B2">
        <w:rPr>
          <w:rFonts w:ascii="Calibri" w:eastAsia="Times New Roman" w:hAnsi="Calibri" w:cs="Calibri"/>
          <w:bCs/>
          <w:color w:val="212121"/>
        </w:rPr>
        <w:t>Bamlanivimab is a monoclonal antibody developed by Eli Lil</w:t>
      </w:r>
      <w:r w:rsidR="00657D00" w:rsidRPr="001271B2">
        <w:rPr>
          <w:rFonts w:ascii="Calibri" w:eastAsia="Times New Roman" w:hAnsi="Calibri" w:cs="Calibri"/>
          <w:bCs/>
          <w:color w:val="212121"/>
        </w:rPr>
        <w:t>l</w:t>
      </w:r>
      <w:r w:rsidRPr="001271B2">
        <w:rPr>
          <w:rFonts w:ascii="Calibri" w:eastAsia="Times New Roman" w:hAnsi="Calibri" w:cs="Calibri"/>
          <w:bCs/>
          <w:color w:val="212121"/>
        </w:rPr>
        <w:t xml:space="preserve">y </w:t>
      </w:r>
      <w:r w:rsidR="00657D00" w:rsidRPr="001271B2">
        <w:rPr>
          <w:rFonts w:ascii="Calibri" w:eastAsia="Times New Roman" w:hAnsi="Calibri" w:cs="Calibri"/>
          <w:bCs/>
          <w:color w:val="212121"/>
        </w:rPr>
        <w:t xml:space="preserve">and </w:t>
      </w:r>
      <w:r w:rsidR="00D371EF" w:rsidRPr="001271B2">
        <w:rPr>
          <w:rFonts w:ascii="Calibri" w:eastAsia="Times New Roman" w:hAnsi="Calibri" w:cs="Calibri"/>
          <w:bCs/>
          <w:color w:val="212121"/>
        </w:rPr>
        <w:t>Co</w:t>
      </w:r>
      <w:r w:rsidR="00657D00" w:rsidRPr="001271B2">
        <w:rPr>
          <w:rFonts w:ascii="Calibri" w:eastAsia="Times New Roman" w:hAnsi="Calibri" w:cs="Calibri"/>
          <w:bCs/>
          <w:color w:val="212121"/>
        </w:rPr>
        <w:t>mpany</w:t>
      </w:r>
      <w:r w:rsidR="00D371EF" w:rsidRPr="001271B2">
        <w:rPr>
          <w:rFonts w:ascii="Calibri" w:eastAsia="Times New Roman" w:hAnsi="Calibri" w:cs="Calibri"/>
          <w:bCs/>
          <w:color w:val="212121"/>
        </w:rPr>
        <w:t xml:space="preserve"> </w:t>
      </w:r>
      <w:r w:rsidRPr="001271B2">
        <w:rPr>
          <w:rFonts w:ascii="Calibri" w:eastAsia="Times New Roman" w:hAnsi="Calibri" w:cs="Calibri"/>
          <w:bCs/>
          <w:color w:val="212121"/>
        </w:rPr>
        <w:t xml:space="preserve">that has received </w:t>
      </w:r>
      <w:r w:rsidRPr="00D11F54">
        <w:rPr>
          <w:rFonts w:ascii="Calibri" w:eastAsia="Times New Roman" w:hAnsi="Calibri" w:cs="Calibri"/>
          <w:bCs/>
          <w:color w:val="212121"/>
        </w:rPr>
        <w:t xml:space="preserve">EUA </w:t>
      </w:r>
      <w:r w:rsidR="00756BA0" w:rsidRPr="00D11F54">
        <w:rPr>
          <w:rFonts w:ascii="Calibri" w:eastAsia="Times New Roman" w:hAnsi="Calibri" w:cs="Calibri"/>
          <w:bCs/>
          <w:color w:val="212121"/>
        </w:rPr>
        <w:t xml:space="preserve">from </w:t>
      </w:r>
      <w:r w:rsidRPr="00D11F54">
        <w:rPr>
          <w:rFonts w:ascii="Calibri" w:eastAsia="Times New Roman" w:hAnsi="Calibri" w:cs="Calibri"/>
          <w:bCs/>
          <w:color w:val="212121"/>
        </w:rPr>
        <w:t xml:space="preserve">the FDA.  </w:t>
      </w:r>
      <w:r w:rsidR="00DE7CE6" w:rsidRPr="00D11F54">
        <w:rPr>
          <w:rFonts w:ascii="Calibri" w:hAnsi="Calibri" w:cs="Calibri"/>
          <w:bCs/>
          <w:color w:val="000000"/>
          <w:shd w:val="clear" w:color="auto" w:fill="FFFFFF"/>
        </w:rPr>
        <w:t xml:space="preserve">Any </w:t>
      </w:r>
      <w:r w:rsidR="00807CAB">
        <w:rPr>
          <w:rFonts w:ascii="Calibri" w:hAnsi="Calibri" w:cs="Calibri"/>
          <w:bCs/>
          <w:color w:val="000000"/>
          <w:shd w:val="clear" w:color="auto" w:fill="FFFFFF"/>
        </w:rPr>
        <w:t>long term care facility</w:t>
      </w:r>
      <w:r w:rsidR="00DE7CE6" w:rsidRPr="00D11F54">
        <w:rPr>
          <w:rFonts w:ascii="Calibri" w:hAnsi="Calibri" w:cs="Calibri"/>
          <w:bCs/>
          <w:color w:val="000000"/>
          <w:shd w:val="clear" w:color="auto" w:fill="FFFFFF"/>
        </w:rPr>
        <w:t xml:space="preserve"> receiving an allocation of </w:t>
      </w:r>
      <w:r w:rsidR="00DE7CE6" w:rsidRPr="00D11F54">
        <w:rPr>
          <w:rFonts w:ascii="Calibri" w:eastAsia="Times New Roman" w:hAnsi="Calibri" w:cs="Calibri"/>
          <w:bCs/>
          <w:color w:val="212121"/>
        </w:rPr>
        <w:t>bamlanivimab</w:t>
      </w:r>
      <w:r w:rsidR="00DE7CE6" w:rsidRPr="00D11F54">
        <w:rPr>
          <w:rFonts w:ascii="Calibri" w:hAnsi="Calibri" w:cs="Calibri"/>
          <w:bCs/>
          <w:color w:val="000000"/>
          <w:shd w:val="clear" w:color="auto" w:fill="FFFFFF"/>
        </w:rPr>
        <w:t xml:space="preserve"> must comply with the applicable terms of the </w:t>
      </w:r>
      <w:hyperlink r:id="rId9" w:history="1">
        <w:r w:rsidR="00DE7CE6" w:rsidRPr="00373C6F">
          <w:rPr>
            <w:rStyle w:val="Hyperlink"/>
            <w:rFonts w:ascii="Calibri" w:hAnsi="Calibri" w:cs="Calibri"/>
            <w:bCs/>
            <w:shd w:val="clear" w:color="auto" w:fill="FFFFFF"/>
          </w:rPr>
          <w:t>EUA</w:t>
        </w:r>
      </w:hyperlink>
      <w:r w:rsidR="00DE7CE6" w:rsidRPr="001271B2">
        <w:rPr>
          <w:rFonts w:ascii="Calibri" w:hAnsi="Calibri" w:cs="Calibri"/>
          <w:bCs/>
          <w:color w:val="000000"/>
          <w:shd w:val="clear" w:color="auto" w:fill="FFFFFF"/>
        </w:rPr>
        <w:t xml:space="preserve"> and authorized </w:t>
      </w:r>
      <w:hyperlink r:id="rId10" w:history="1">
        <w:r w:rsidR="00DE7CE6" w:rsidRPr="00373C6F">
          <w:rPr>
            <w:rStyle w:val="Hyperlink"/>
            <w:rFonts w:ascii="Calibri" w:hAnsi="Calibri" w:cs="Calibri"/>
            <w:bCs/>
            <w:shd w:val="clear" w:color="auto" w:fill="FFFFFF"/>
          </w:rPr>
          <w:t>Fact Sheets</w:t>
        </w:r>
      </w:hyperlink>
      <w:r w:rsidR="00DE7CE6" w:rsidRPr="001271B2">
        <w:rPr>
          <w:rFonts w:ascii="Calibri" w:hAnsi="Calibri" w:cs="Calibri"/>
          <w:bCs/>
          <w:color w:val="000000"/>
          <w:shd w:val="clear" w:color="auto" w:fill="FFFFFF"/>
        </w:rPr>
        <w:t xml:space="preserve">.  </w:t>
      </w:r>
      <w:r w:rsidR="0036026B">
        <w:rPr>
          <w:rFonts w:ascii="Calibri" w:hAnsi="Calibri" w:cs="Calibri"/>
          <w:bCs/>
          <w:color w:val="000000"/>
          <w:shd w:val="clear" w:color="auto" w:fill="FFFFFF"/>
        </w:rPr>
        <w:br/>
      </w:r>
    </w:p>
    <w:p w14:paraId="70E809A3" w14:textId="28D6A643" w:rsidR="00781E6A" w:rsidRDefault="00756BA0" w:rsidP="00FF0122">
      <w:pPr>
        <w:shd w:val="clear" w:color="auto" w:fill="FFFFFF"/>
        <w:spacing w:after="120"/>
        <w:rPr>
          <w:rFonts w:ascii="Calibri" w:eastAsia="Times New Roman" w:hAnsi="Calibri" w:cs="Calibri"/>
          <w:color w:val="212121"/>
        </w:rPr>
      </w:pPr>
      <w:r>
        <w:rPr>
          <w:rFonts w:ascii="Calibri" w:eastAsia="Times New Roman" w:hAnsi="Calibri" w:cs="Calibri"/>
          <w:color w:val="212121"/>
        </w:rPr>
        <w:t>The Department of Public Health (</w:t>
      </w:r>
      <w:r w:rsidR="009516D6" w:rsidRPr="00CA2EF9">
        <w:rPr>
          <w:rFonts w:ascii="Calibri" w:eastAsia="Times New Roman" w:hAnsi="Calibri" w:cs="Calibri"/>
          <w:color w:val="212121"/>
        </w:rPr>
        <w:t xml:space="preserve">DPH </w:t>
      </w:r>
      <w:r>
        <w:rPr>
          <w:rFonts w:ascii="Calibri" w:eastAsia="Times New Roman" w:hAnsi="Calibri" w:cs="Calibri"/>
          <w:color w:val="212121"/>
        </w:rPr>
        <w:t xml:space="preserve">or the Department) </w:t>
      </w:r>
      <w:r w:rsidR="009516D6" w:rsidRPr="00CA2EF9">
        <w:rPr>
          <w:rFonts w:ascii="Calibri" w:eastAsia="Times New Roman" w:hAnsi="Calibri" w:cs="Calibri"/>
          <w:color w:val="212121"/>
        </w:rPr>
        <w:t>assembled a Working Group, comprised of infectious disease specialists</w:t>
      </w:r>
      <w:r w:rsidR="00E90D7D">
        <w:rPr>
          <w:rFonts w:ascii="Calibri" w:eastAsia="Times New Roman" w:hAnsi="Calibri" w:cs="Calibri"/>
          <w:color w:val="212121"/>
        </w:rPr>
        <w:t>, emergency physician</w:t>
      </w:r>
      <w:r w:rsidR="00400A1E">
        <w:rPr>
          <w:rFonts w:ascii="Calibri" w:eastAsia="Times New Roman" w:hAnsi="Calibri" w:cs="Calibri"/>
          <w:color w:val="212121"/>
        </w:rPr>
        <w:t>s</w:t>
      </w:r>
      <w:r w:rsidR="00E90D7D">
        <w:rPr>
          <w:rFonts w:ascii="Calibri" w:eastAsia="Times New Roman" w:hAnsi="Calibri" w:cs="Calibri"/>
          <w:color w:val="212121"/>
        </w:rPr>
        <w:t>, community health center representati</w:t>
      </w:r>
      <w:r w:rsidR="00400A1E">
        <w:rPr>
          <w:rFonts w:ascii="Calibri" w:eastAsia="Times New Roman" w:hAnsi="Calibri" w:cs="Calibri"/>
          <w:color w:val="212121"/>
        </w:rPr>
        <w:t>ves</w:t>
      </w:r>
      <w:r w:rsidR="009516D6" w:rsidRPr="00CA2EF9">
        <w:rPr>
          <w:rFonts w:ascii="Calibri" w:eastAsia="Times New Roman" w:hAnsi="Calibri" w:cs="Calibri"/>
          <w:color w:val="212121"/>
        </w:rPr>
        <w:t xml:space="preserve"> and ethicists to advise on </w:t>
      </w:r>
      <w:r w:rsidR="009516D6" w:rsidRPr="00781E6A">
        <w:rPr>
          <w:rFonts w:ascii="Calibri" w:eastAsia="Times New Roman" w:hAnsi="Calibri" w:cs="Calibri"/>
          <w:color w:val="212121"/>
        </w:rPr>
        <w:t xml:space="preserve">equitable public health </w:t>
      </w:r>
      <w:r w:rsidR="009516D6" w:rsidRPr="00CA2EF9">
        <w:rPr>
          <w:rFonts w:ascii="Calibri" w:eastAsia="Times New Roman" w:hAnsi="Calibri" w:cs="Calibri"/>
          <w:color w:val="212121"/>
        </w:rPr>
        <w:t>strategies</w:t>
      </w:r>
      <w:r w:rsidR="009516D6" w:rsidRPr="00781E6A">
        <w:rPr>
          <w:rFonts w:ascii="Calibri" w:eastAsia="Times New Roman" w:hAnsi="Calibri" w:cs="Calibri"/>
          <w:color w:val="212121"/>
        </w:rPr>
        <w:t xml:space="preserve"> to allocate the doses </w:t>
      </w:r>
      <w:r w:rsidR="00966EA9">
        <w:rPr>
          <w:rFonts w:ascii="Calibri" w:eastAsia="Times New Roman" w:hAnsi="Calibri" w:cs="Calibri"/>
          <w:color w:val="212121"/>
        </w:rPr>
        <w:t xml:space="preserve">of COVID-19 therapeutics </w:t>
      </w:r>
      <w:r w:rsidR="009516D6" w:rsidRPr="00781E6A">
        <w:rPr>
          <w:rFonts w:ascii="Calibri" w:eastAsia="Times New Roman" w:hAnsi="Calibri" w:cs="Calibri"/>
          <w:color w:val="212121"/>
        </w:rPr>
        <w:t>delivered to Massachusetts in the event that there is not sufficient capacity to respond to demand for this scarce resource</w:t>
      </w:r>
      <w:r w:rsidR="009516D6" w:rsidRPr="00CA2EF9">
        <w:rPr>
          <w:rFonts w:ascii="Calibri" w:eastAsia="Times New Roman" w:hAnsi="Calibri" w:cs="Calibri"/>
          <w:color w:val="212121"/>
        </w:rPr>
        <w:t xml:space="preserve">. </w:t>
      </w:r>
      <w:r w:rsidR="009516D6" w:rsidRPr="00781E6A">
        <w:rPr>
          <w:rFonts w:ascii="Calibri" w:eastAsia="Times New Roman" w:hAnsi="Calibri" w:cs="Calibri"/>
          <w:color w:val="212121"/>
        </w:rPr>
        <w:t xml:space="preserve"> </w:t>
      </w:r>
      <w:r w:rsidR="00D11F54">
        <w:rPr>
          <w:rFonts w:ascii="Calibri" w:eastAsia="Times New Roman" w:hAnsi="Calibri" w:cs="Calibri"/>
          <w:color w:val="212121"/>
        </w:rPr>
        <w:t>T</w:t>
      </w:r>
      <w:r w:rsidR="00781E6A" w:rsidRPr="00B02CC8">
        <w:rPr>
          <w:rFonts w:ascii="Calibri" w:eastAsia="Times New Roman" w:hAnsi="Calibri" w:cs="Calibri"/>
          <w:color w:val="212121"/>
        </w:rPr>
        <w:t>o ensure equitable distribution</w:t>
      </w:r>
      <w:r w:rsidR="00781E6A" w:rsidRPr="00781E6A">
        <w:rPr>
          <w:rFonts w:ascii="Calibri" w:eastAsia="Times New Roman" w:hAnsi="Calibri" w:cs="Calibri"/>
          <w:color w:val="212121"/>
        </w:rPr>
        <w:t xml:space="preserve"> to those most vulnerable to poor outcomes from C</w:t>
      </w:r>
      <w:r w:rsidR="00F05A16">
        <w:rPr>
          <w:rFonts w:ascii="Calibri" w:eastAsia="Times New Roman" w:hAnsi="Calibri" w:cs="Calibri"/>
          <w:color w:val="212121"/>
        </w:rPr>
        <w:t>OVID</w:t>
      </w:r>
      <w:r w:rsidR="00781E6A" w:rsidRPr="00781E6A">
        <w:rPr>
          <w:rFonts w:ascii="Calibri" w:eastAsia="Times New Roman" w:hAnsi="Calibri" w:cs="Calibri"/>
          <w:color w:val="212121"/>
        </w:rPr>
        <w:t xml:space="preserve">-19 and communities </w:t>
      </w:r>
      <w:r w:rsidR="00F05A16">
        <w:rPr>
          <w:rFonts w:ascii="Calibri" w:eastAsia="Times New Roman" w:hAnsi="Calibri" w:cs="Calibri"/>
          <w:color w:val="212121"/>
        </w:rPr>
        <w:t>with the highest incidence of</w:t>
      </w:r>
      <w:r w:rsidR="00781E6A" w:rsidRPr="00781E6A">
        <w:rPr>
          <w:rFonts w:ascii="Calibri" w:eastAsia="Times New Roman" w:hAnsi="Calibri" w:cs="Calibri"/>
          <w:color w:val="212121"/>
        </w:rPr>
        <w:t xml:space="preserve"> COVID-19</w:t>
      </w:r>
      <w:r w:rsidR="00F05A16">
        <w:rPr>
          <w:rFonts w:ascii="Calibri" w:eastAsia="Times New Roman" w:hAnsi="Calibri" w:cs="Calibri"/>
          <w:color w:val="212121"/>
        </w:rPr>
        <w:t xml:space="preserve">, </w:t>
      </w:r>
      <w:r w:rsidR="0039706D">
        <w:rPr>
          <w:rFonts w:ascii="Calibri" w:eastAsia="Times New Roman" w:hAnsi="Calibri" w:cs="Calibri"/>
          <w:color w:val="212121"/>
        </w:rPr>
        <w:t>long term care facilities</w:t>
      </w:r>
      <w:r w:rsidR="00F05A16">
        <w:rPr>
          <w:rFonts w:ascii="Calibri" w:eastAsia="Times New Roman" w:hAnsi="Calibri" w:cs="Calibri"/>
          <w:color w:val="212121"/>
        </w:rPr>
        <w:t xml:space="preserve"> should allocate available doses </w:t>
      </w:r>
      <w:r w:rsidR="00966EA9">
        <w:rPr>
          <w:rFonts w:ascii="Calibri" w:eastAsia="Times New Roman" w:hAnsi="Calibri" w:cs="Calibri"/>
          <w:color w:val="212121"/>
        </w:rPr>
        <w:t xml:space="preserve">of </w:t>
      </w:r>
      <w:r w:rsidR="00966EA9">
        <w:rPr>
          <w:rFonts w:ascii="Calibri" w:eastAsia="Times New Roman" w:hAnsi="Calibri" w:cs="Calibri"/>
          <w:bCs/>
          <w:color w:val="212121"/>
        </w:rPr>
        <w:t>b</w:t>
      </w:r>
      <w:r w:rsidR="00966EA9" w:rsidRPr="00EA20AE">
        <w:rPr>
          <w:rFonts w:ascii="Calibri" w:eastAsia="Times New Roman" w:hAnsi="Calibri" w:cs="Calibri"/>
          <w:bCs/>
          <w:color w:val="212121"/>
        </w:rPr>
        <w:t xml:space="preserve">amlanivimab </w:t>
      </w:r>
      <w:r w:rsidR="00F05A16">
        <w:rPr>
          <w:rFonts w:ascii="Calibri" w:eastAsia="Times New Roman" w:hAnsi="Calibri" w:cs="Calibri"/>
          <w:color w:val="212121"/>
        </w:rPr>
        <w:t>in a manner consistent with this guidance, including:</w:t>
      </w:r>
    </w:p>
    <w:p w14:paraId="25519E56" w14:textId="142FAD16" w:rsidR="00781E6A" w:rsidRPr="00B02CC8" w:rsidRDefault="00781E6A" w:rsidP="00C137EF">
      <w:pPr>
        <w:shd w:val="clear" w:color="auto" w:fill="FFFFFF"/>
        <w:spacing w:after="120"/>
        <w:ind w:left="720"/>
        <w:rPr>
          <w:rFonts w:ascii="Calibri" w:eastAsia="Times New Roman" w:hAnsi="Calibri" w:cs="Calibri"/>
          <w:color w:val="212121"/>
        </w:rPr>
      </w:pPr>
      <w:r>
        <w:rPr>
          <w:rFonts w:ascii="Calibri" w:eastAsia="Times New Roman" w:hAnsi="Calibri" w:cs="Calibri"/>
          <w:color w:val="212121"/>
        </w:rPr>
        <w:t>Among those patients who meet the EUA criteria, p</w:t>
      </w:r>
      <w:r w:rsidRPr="00B02CC8">
        <w:rPr>
          <w:rFonts w:ascii="Calibri" w:eastAsia="Times New Roman" w:hAnsi="Calibri" w:cs="Calibri"/>
          <w:color w:val="212121"/>
        </w:rPr>
        <w:t>rioritiz</w:t>
      </w:r>
      <w:r>
        <w:rPr>
          <w:rFonts w:ascii="Calibri" w:eastAsia="Times New Roman" w:hAnsi="Calibri" w:cs="Calibri"/>
          <w:color w:val="212121"/>
        </w:rPr>
        <w:t>e</w:t>
      </w:r>
      <w:r w:rsidRPr="00B02CC8">
        <w:rPr>
          <w:rFonts w:ascii="Calibri" w:eastAsia="Times New Roman" w:hAnsi="Calibri" w:cs="Calibri"/>
          <w:color w:val="212121"/>
        </w:rPr>
        <w:t xml:space="preserve"> patients age ≥</w:t>
      </w:r>
      <w:r w:rsidR="00FF4060">
        <w:rPr>
          <w:rFonts w:ascii="Calibri" w:eastAsia="Times New Roman" w:hAnsi="Calibri" w:cs="Calibri"/>
          <w:color w:val="212121"/>
        </w:rPr>
        <w:t xml:space="preserve"> </w:t>
      </w:r>
      <w:r w:rsidRPr="00B02CC8">
        <w:rPr>
          <w:rFonts w:ascii="Calibri" w:eastAsia="Times New Roman" w:hAnsi="Calibri" w:cs="Calibri"/>
          <w:color w:val="212121"/>
        </w:rPr>
        <w:t>65 and those age ≥ 18 with BMI ≥ 35</w:t>
      </w:r>
      <w:r w:rsidR="002065D3">
        <w:rPr>
          <w:rFonts w:ascii="Calibri" w:eastAsia="Times New Roman" w:hAnsi="Calibri" w:cs="Calibri"/>
          <w:color w:val="212121"/>
        </w:rPr>
        <w:t xml:space="preserve"> (Tier 1)</w:t>
      </w:r>
      <w:r w:rsidRPr="00B02CC8">
        <w:rPr>
          <w:rFonts w:ascii="Calibri" w:eastAsia="Times New Roman" w:hAnsi="Calibri" w:cs="Calibri"/>
          <w:color w:val="212121"/>
        </w:rPr>
        <w:t xml:space="preserve"> over others who meet EUA criteria</w:t>
      </w:r>
      <w:r w:rsidR="002065D3">
        <w:rPr>
          <w:rFonts w:ascii="Calibri" w:eastAsia="Times New Roman" w:hAnsi="Calibri" w:cs="Calibri"/>
          <w:color w:val="212121"/>
        </w:rPr>
        <w:t xml:space="preserve"> (Tier 2</w:t>
      </w:r>
      <w:r w:rsidR="00393D24">
        <w:rPr>
          <w:rFonts w:ascii="Calibri" w:eastAsia="Times New Roman" w:hAnsi="Calibri" w:cs="Calibri"/>
          <w:color w:val="212121"/>
        </w:rPr>
        <w:t>)</w:t>
      </w:r>
    </w:p>
    <w:p w14:paraId="5EB10FE0" w14:textId="1276DC72" w:rsidR="00756BA0" w:rsidRDefault="00DE7CE6" w:rsidP="00FF0122">
      <w:pPr>
        <w:shd w:val="clear" w:color="auto" w:fill="FFFFFF"/>
        <w:spacing w:after="120"/>
        <w:rPr>
          <w:rFonts w:ascii="Calibri" w:hAnsi="Calibri" w:cs="Calibri"/>
          <w:color w:val="000000"/>
          <w:shd w:val="clear" w:color="auto" w:fill="FFFFFF"/>
        </w:rPr>
      </w:pPr>
      <w:r w:rsidRPr="00781E6A">
        <w:rPr>
          <w:rFonts w:ascii="Calibri" w:hAnsi="Calibri" w:cs="Calibri"/>
          <w:color w:val="000000"/>
          <w:shd w:val="clear" w:color="auto" w:fill="FFFFFF"/>
        </w:rPr>
        <w:t xml:space="preserve">Decisions about which eligible </w:t>
      </w:r>
      <w:r w:rsidR="00712E23">
        <w:rPr>
          <w:rFonts w:ascii="Calibri" w:hAnsi="Calibri" w:cs="Calibri"/>
          <w:color w:val="000000"/>
          <w:shd w:val="clear" w:color="auto" w:fill="FFFFFF"/>
        </w:rPr>
        <w:t>long term care residents</w:t>
      </w:r>
      <w:r w:rsidRPr="00781E6A">
        <w:rPr>
          <w:rFonts w:ascii="Calibri" w:hAnsi="Calibri" w:cs="Calibri"/>
          <w:color w:val="000000"/>
          <w:shd w:val="clear" w:color="auto" w:fill="FFFFFF"/>
        </w:rPr>
        <w:t xml:space="preserve"> receive the drug</w:t>
      </w:r>
      <w:r w:rsidR="00966EA9">
        <w:rPr>
          <w:rFonts w:ascii="Calibri" w:hAnsi="Calibri" w:cs="Calibri"/>
          <w:color w:val="000000"/>
          <w:shd w:val="clear" w:color="auto" w:fill="FFFFFF"/>
        </w:rPr>
        <w:t>s</w:t>
      </w:r>
      <w:r w:rsidRPr="00781E6A">
        <w:rPr>
          <w:rFonts w:ascii="Calibri" w:hAnsi="Calibri" w:cs="Calibri"/>
          <w:color w:val="000000"/>
          <w:shd w:val="clear" w:color="auto" w:fill="FFFFFF"/>
        </w:rPr>
        <w:t xml:space="preserve"> should be based on the clinical judgement of </w:t>
      </w:r>
      <w:r w:rsidR="00393D24">
        <w:rPr>
          <w:rFonts w:ascii="Calibri" w:hAnsi="Calibri" w:cs="Calibri"/>
          <w:color w:val="000000"/>
          <w:shd w:val="clear" w:color="auto" w:fill="FFFFFF"/>
        </w:rPr>
        <w:t xml:space="preserve">the </w:t>
      </w:r>
      <w:r w:rsidRPr="00781E6A">
        <w:rPr>
          <w:rFonts w:ascii="Calibri" w:hAnsi="Calibri" w:cs="Calibri"/>
          <w:color w:val="000000"/>
          <w:shd w:val="clear" w:color="auto" w:fill="FFFFFF"/>
        </w:rPr>
        <w:t xml:space="preserve">providers, consistent with the terms of the EUA and with this guidance.  </w:t>
      </w:r>
    </w:p>
    <w:p w14:paraId="45D8C1C0" w14:textId="73DD45E0" w:rsidR="00C86CE1" w:rsidRDefault="00393D24" w:rsidP="00C86CE1">
      <w:pPr>
        <w:shd w:val="clear" w:color="auto" w:fill="FFFFFF"/>
        <w:spacing w:after="120"/>
        <w:rPr>
          <w:rFonts w:ascii="Calibri" w:hAnsi="Calibri" w:cs="Calibri"/>
          <w:color w:val="000000"/>
          <w:shd w:val="clear" w:color="auto" w:fill="FFFFFF"/>
        </w:rPr>
      </w:pPr>
      <w:r>
        <w:rPr>
          <w:rFonts w:ascii="Calibri" w:hAnsi="Calibri" w:cs="Calibri"/>
          <w:color w:val="000000"/>
          <w:shd w:val="clear" w:color="auto" w:fill="FFFFFF"/>
        </w:rPr>
        <w:t>Long term care</w:t>
      </w:r>
      <w:r w:rsidR="00DE7CE6" w:rsidRPr="00781E6A">
        <w:rPr>
          <w:rFonts w:ascii="Calibri" w:hAnsi="Calibri" w:cs="Calibri"/>
          <w:color w:val="000000"/>
          <w:shd w:val="clear" w:color="auto" w:fill="FFFFFF"/>
        </w:rPr>
        <w:t xml:space="preserve"> criteria for </w:t>
      </w:r>
      <w:r w:rsidR="001B5021" w:rsidRPr="00781E6A">
        <w:rPr>
          <w:rFonts w:ascii="Calibri" w:eastAsia="Times New Roman" w:hAnsi="Calibri" w:cs="Calibri"/>
          <w:color w:val="212121"/>
        </w:rPr>
        <w:t>bamlanivimab</w:t>
      </w:r>
      <w:r w:rsidR="00DE7CE6" w:rsidRPr="00781E6A">
        <w:rPr>
          <w:rFonts w:ascii="Calibri" w:hAnsi="Calibri" w:cs="Calibri"/>
          <w:color w:val="000000"/>
          <w:shd w:val="clear" w:color="auto" w:fill="FFFFFF"/>
        </w:rPr>
        <w:t xml:space="preserve"> use should be as clear, transparent, and objective as possible, and be based on biological factors related only to the likelihood and magnitude of benefit from the medical resources and should at all times minimize inequitable outcomes. Factors that have no bearing on the likelihood or magnitude of benefit, includ</w:t>
      </w:r>
      <w:r w:rsidR="002065D3">
        <w:rPr>
          <w:rFonts w:ascii="Calibri" w:hAnsi="Calibri" w:cs="Calibri"/>
          <w:color w:val="000000"/>
          <w:shd w:val="clear" w:color="auto" w:fill="FFFFFF"/>
        </w:rPr>
        <w:t xml:space="preserve">e </w:t>
      </w:r>
      <w:r w:rsidR="00DE7CE6" w:rsidRPr="00781E6A">
        <w:rPr>
          <w:rFonts w:ascii="Calibri" w:hAnsi="Calibri" w:cs="Calibri"/>
          <w:color w:val="000000"/>
          <w:shd w:val="clear" w:color="auto" w:fill="FFFFFF"/>
        </w:rPr>
        <w:t xml:space="preserve">but </w:t>
      </w:r>
      <w:r w:rsidR="002065D3">
        <w:rPr>
          <w:rFonts w:ascii="Calibri" w:hAnsi="Calibri" w:cs="Calibri"/>
          <w:color w:val="000000"/>
          <w:shd w:val="clear" w:color="auto" w:fill="FFFFFF"/>
        </w:rPr>
        <w:t xml:space="preserve">are </w:t>
      </w:r>
      <w:r w:rsidR="00DE7CE6" w:rsidRPr="00781E6A">
        <w:rPr>
          <w:rFonts w:ascii="Calibri" w:hAnsi="Calibri" w:cs="Calibri"/>
          <w:color w:val="000000"/>
          <w:shd w:val="clear" w:color="auto" w:fill="FFFFFF"/>
        </w:rPr>
        <w:t>not limited to</w:t>
      </w:r>
      <w:r w:rsidR="002065D3">
        <w:rPr>
          <w:rFonts w:ascii="Calibri" w:hAnsi="Calibri" w:cs="Calibri"/>
          <w:color w:val="000000"/>
          <w:shd w:val="clear" w:color="auto" w:fill="FFFFFF"/>
        </w:rPr>
        <w:t>,</w:t>
      </w:r>
      <w:r w:rsidR="00DE7CE6" w:rsidRPr="00781E6A">
        <w:rPr>
          <w:rFonts w:ascii="Calibri" w:hAnsi="Calibri" w:cs="Calibri"/>
          <w:color w:val="000000"/>
          <w:shd w:val="clear" w:color="auto" w:fill="FFFFFF"/>
        </w:rPr>
        <w:t xml:space="preserve"> race, disability, gender, sexual orientation, gender identity, ethnicity, ability to pay, socioeconomic status, perceived social worth, perceived quality of life, immigration status, incarceration status, homelessness or past or future use of resources</w:t>
      </w:r>
      <w:r w:rsidR="002065D3">
        <w:rPr>
          <w:rFonts w:ascii="Calibri" w:hAnsi="Calibri" w:cs="Calibri"/>
          <w:color w:val="000000"/>
          <w:shd w:val="clear" w:color="auto" w:fill="FFFFFF"/>
        </w:rPr>
        <w:t xml:space="preserve">. Such factors </w:t>
      </w:r>
      <w:r w:rsidR="00DE7CE6" w:rsidRPr="00781E6A">
        <w:rPr>
          <w:rFonts w:ascii="Calibri" w:hAnsi="Calibri" w:cs="Calibri"/>
          <w:color w:val="000000"/>
          <w:shd w:val="clear" w:color="auto" w:fill="FFFFFF"/>
        </w:rPr>
        <w:t>are not to be considered by providers when making allocation decisions.</w:t>
      </w:r>
      <w:r w:rsidR="00C86CE1">
        <w:rPr>
          <w:rFonts w:ascii="Calibri" w:hAnsi="Calibri" w:cs="Calibri"/>
          <w:color w:val="000000"/>
          <w:shd w:val="clear" w:color="auto" w:fill="FFFFFF"/>
        </w:rPr>
        <w:t xml:space="preserve"> Given the uncertainty surrounding the benefit</w:t>
      </w:r>
      <w:r w:rsidR="00ED7AE2">
        <w:rPr>
          <w:rFonts w:ascii="Calibri" w:hAnsi="Calibri" w:cs="Calibri"/>
          <w:color w:val="000000"/>
          <w:shd w:val="clear" w:color="auto" w:fill="FFFFFF"/>
        </w:rPr>
        <w:t>s</w:t>
      </w:r>
      <w:r w:rsidR="00C86CE1">
        <w:rPr>
          <w:rFonts w:ascii="Calibri" w:hAnsi="Calibri" w:cs="Calibri"/>
          <w:color w:val="000000"/>
          <w:shd w:val="clear" w:color="auto" w:fill="FFFFFF"/>
        </w:rPr>
        <w:t xml:space="preserve"> and risks of bamlani</w:t>
      </w:r>
      <w:r w:rsidR="00400A1E">
        <w:rPr>
          <w:rFonts w:ascii="Calibri" w:hAnsi="Calibri" w:cs="Calibri"/>
          <w:color w:val="000000"/>
          <w:shd w:val="clear" w:color="auto" w:fill="FFFFFF"/>
        </w:rPr>
        <w:t>v</w:t>
      </w:r>
      <w:r w:rsidR="00C86CE1">
        <w:rPr>
          <w:rFonts w:ascii="Calibri" w:hAnsi="Calibri" w:cs="Calibri"/>
          <w:color w:val="000000"/>
          <w:shd w:val="clear" w:color="auto" w:fill="FFFFFF"/>
        </w:rPr>
        <w:t>imab</w:t>
      </w:r>
      <w:r w:rsidR="00966EA9">
        <w:rPr>
          <w:rFonts w:ascii="Calibri" w:hAnsi="Calibri" w:cs="Calibri"/>
          <w:color w:val="000000"/>
          <w:shd w:val="clear" w:color="auto" w:fill="FFFFFF"/>
        </w:rPr>
        <w:t xml:space="preserve"> </w:t>
      </w:r>
      <w:r w:rsidR="00C86CE1">
        <w:rPr>
          <w:rFonts w:ascii="Calibri" w:hAnsi="Calibri" w:cs="Calibri"/>
          <w:color w:val="000000"/>
          <w:shd w:val="clear" w:color="auto" w:fill="FFFFFF"/>
        </w:rPr>
        <w:t>in treating COVID-19, the decision to treat should be carefully discussed by the</w:t>
      </w:r>
      <w:r w:rsidR="00D66D54">
        <w:rPr>
          <w:rFonts w:ascii="Calibri" w:hAnsi="Calibri" w:cs="Calibri"/>
          <w:color w:val="000000"/>
          <w:shd w:val="clear" w:color="auto" w:fill="FFFFFF"/>
        </w:rPr>
        <w:t xml:space="preserve"> healthcare</w:t>
      </w:r>
      <w:r w:rsidR="00C86CE1">
        <w:rPr>
          <w:rFonts w:ascii="Calibri" w:hAnsi="Calibri" w:cs="Calibri"/>
          <w:color w:val="000000"/>
          <w:shd w:val="clear" w:color="auto" w:fill="FFFFFF"/>
        </w:rPr>
        <w:t xml:space="preserve"> provider with each </w:t>
      </w:r>
      <w:r>
        <w:rPr>
          <w:rFonts w:ascii="Calibri" w:hAnsi="Calibri" w:cs="Calibri"/>
          <w:color w:val="000000"/>
          <w:shd w:val="clear" w:color="auto" w:fill="FFFFFF"/>
        </w:rPr>
        <w:t>resident.</w:t>
      </w:r>
    </w:p>
    <w:p w14:paraId="380D7637" w14:textId="3030722E" w:rsidR="00DE7CE6" w:rsidRPr="00781E6A" w:rsidRDefault="00DE7CE6" w:rsidP="00DE7CE6">
      <w:pPr>
        <w:shd w:val="clear" w:color="auto" w:fill="FFFFFF"/>
        <w:spacing w:after="120"/>
        <w:rPr>
          <w:rFonts w:ascii="Calibri" w:eastAsia="Times New Roman" w:hAnsi="Calibri" w:cs="Calibri"/>
          <w:color w:val="212121"/>
        </w:rPr>
      </w:pPr>
    </w:p>
    <w:p w14:paraId="4C654272" w14:textId="34B3E03B" w:rsidR="00B02CC8" w:rsidRPr="00B02CC8" w:rsidRDefault="00B02CC8" w:rsidP="00B02CC8">
      <w:pPr>
        <w:shd w:val="clear" w:color="auto" w:fill="FFFFFF"/>
        <w:spacing w:after="120"/>
        <w:rPr>
          <w:rFonts w:ascii="Calibri" w:eastAsia="Times New Roman" w:hAnsi="Calibri" w:cs="Calibri"/>
          <w:color w:val="212121"/>
        </w:rPr>
      </w:pPr>
      <w:r w:rsidRPr="00781E6A">
        <w:rPr>
          <w:rFonts w:ascii="Calibri" w:eastAsia="Times New Roman" w:hAnsi="Calibri" w:cs="Calibri"/>
          <w:color w:val="212121"/>
        </w:rPr>
        <w:t>I.</w:t>
      </w:r>
      <w:r w:rsidRPr="00781E6A">
        <w:rPr>
          <w:rFonts w:ascii="Calibri" w:eastAsia="Times New Roman" w:hAnsi="Calibri" w:cs="Calibri"/>
          <w:color w:val="212121"/>
        </w:rPr>
        <w:tab/>
      </w:r>
      <w:r w:rsidRPr="00B02CC8">
        <w:rPr>
          <w:rFonts w:ascii="Calibri" w:eastAsia="Times New Roman" w:hAnsi="Calibri" w:cs="Calibri"/>
          <w:color w:val="212121"/>
          <w:u w:val="single"/>
        </w:rPr>
        <w:t xml:space="preserve">Criteria for </w:t>
      </w:r>
      <w:r w:rsidR="00393D24">
        <w:rPr>
          <w:rFonts w:ascii="Calibri" w:eastAsia="Times New Roman" w:hAnsi="Calibri" w:cs="Calibri"/>
          <w:color w:val="212121"/>
          <w:u w:val="single"/>
        </w:rPr>
        <w:t>long term care facility</w:t>
      </w:r>
      <w:r w:rsidRPr="00B02CC8">
        <w:rPr>
          <w:rFonts w:ascii="Calibri" w:eastAsia="Times New Roman" w:hAnsi="Calibri" w:cs="Calibri"/>
          <w:color w:val="212121"/>
          <w:u w:val="single"/>
        </w:rPr>
        <w:t xml:space="preserve"> to </w:t>
      </w:r>
      <w:r w:rsidR="005124E6" w:rsidRPr="005124E6">
        <w:rPr>
          <w:rFonts w:ascii="Calibri" w:eastAsia="Times New Roman" w:hAnsi="Calibri" w:cs="Calibri"/>
          <w:color w:val="212121"/>
          <w:u w:val="single"/>
        </w:rPr>
        <w:t>receive allocation</w:t>
      </w:r>
    </w:p>
    <w:p w14:paraId="46D601E1" w14:textId="0539A998" w:rsidR="00657D00" w:rsidRDefault="00B02CC8" w:rsidP="00781E6A">
      <w:pPr>
        <w:shd w:val="clear" w:color="auto" w:fill="FFFFFF"/>
        <w:spacing w:after="120"/>
        <w:rPr>
          <w:rFonts w:ascii="Calibri" w:eastAsia="Times New Roman" w:hAnsi="Calibri" w:cs="Calibri"/>
          <w:color w:val="212121"/>
        </w:rPr>
      </w:pPr>
      <w:r w:rsidRPr="00B02CC8">
        <w:rPr>
          <w:rFonts w:ascii="Calibri" w:eastAsia="Times New Roman" w:hAnsi="Calibri" w:cs="Calibri"/>
          <w:color w:val="212121"/>
        </w:rPr>
        <w:lastRenderedPageBreak/>
        <w:t xml:space="preserve">Identified </w:t>
      </w:r>
      <w:r w:rsidR="00393D24">
        <w:rPr>
          <w:rFonts w:ascii="Calibri" w:eastAsia="Times New Roman" w:hAnsi="Calibri" w:cs="Calibri"/>
          <w:color w:val="212121"/>
        </w:rPr>
        <w:t>long term care facilities</w:t>
      </w:r>
      <w:r w:rsidR="00B6110F">
        <w:rPr>
          <w:rFonts w:ascii="Calibri" w:eastAsia="Times New Roman" w:hAnsi="Calibri" w:cs="Calibri"/>
          <w:color w:val="212121"/>
        </w:rPr>
        <w:t xml:space="preserve"> </w:t>
      </w:r>
      <w:r w:rsidR="00781E6A">
        <w:rPr>
          <w:rFonts w:ascii="Calibri" w:eastAsia="Times New Roman" w:hAnsi="Calibri" w:cs="Calibri"/>
          <w:color w:val="212121"/>
        </w:rPr>
        <w:t>electing to receive allocation</w:t>
      </w:r>
      <w:r w:rsidR="00966EA9">
        <w:rPr>
          <w:rFonts w:ascii="Calibri" w:eastAsia="Times New Roman" w:hAnsi="Calibri" w:cs="Calibri"/>
          <w:color w:val="212121"/>
        </w:rPr>
        <w:t>s</w:t>
      </w:r>
      <w:r w:rsidR="00781E6A">
        <w:rPr>
          <w:rFonts w:ascii="Calibri" w:eastAsia="Times New Roman" w:hAnsi="Calibri" w:cs="Calibri"/>
          <w:color w:val="212121"/>
        </w:rPr>
        <w:t xml:space="preserve"> of bamlanivimab </w:t>
      </w:r>
      <w:r w:rsidRPr="00B02CC8">
        <w:rPr>
          <w:rFonts w:ascii="Calibri" w:eastAsia="Times New Roman" w:hAnsi="Calibri" w:cs="Calibri"/>
          <w:color w:val="212121"/>
        </w:rPr>
        <w:t xml:space="preserve">must </w:t>
      </w:r>
      <w:r w:rsidR="00B6110F">
        <w:rPr>
          <w:rFonts w:ascii="Calibri" w:eastAsia="Times New Roman" w:hAnsi="Calibri" w:cs="Calibri"/>
          <w:color w:val="212121"/>
        </w:rPr>
        <w:t>submit the Response Form to DPH to confirm their</w:t>
      </w:r>
      <w:r w:rsidR="00781E6A">
        <w:rPr>
          <w:rFonts w:ascii="Calibri" w:eastAsia="Times New Roman" w:hAnsi="Calibri" w:cs="Calibri"/>
          <w:color w:val="212121"/>
        </w:rPr>
        <w:t xml:space="preserve"> c</w:t>
      </w:r>
      <w:r w:rsidRPr="00B02CC8">
        <w:rPr>
          <w:rFonts w:ascii="Calibri" w:eastAsia="Times New Roman" w:hAnsi="Calibri" w:cs="Calibri"/>
          <w:color w:val="212121"/>
        </w:rPr>
        <w:t xml:space="preserve">apabilities and capacity to safely perform infusions and agree to equitably deliver bamlanivimab to </w:t>
      </w:r>
      <w:r w:rsidR="00393D24">
        <w:rPr>
          <w:rFonts w:ascii="Calibri" w:eastAsia="Times New Roman" w:hAnsi="Calibri" w:cs="Calibri"/>
          <w:color w:val="212121"/>
        </w:rPr>
        <w:t>residents</w:t>
      </w:r>
      <w:r w:rsidRPr="00B02CC8">
        <w:rPr>
          <w:rFonts w:ascii="Calibri" w:eastAsia="Times New Roman" w:hAnsi="Calibri" w:cs="Calibri"/>
          <w:color w:val="212121"/>
        </w:rPr>
        <w:t xml:space="preserve"> authorized under EUA </w:t>
      </w:r>
      <w:r w:rsidR="00781E6A">
        <w:rPr>
          <w:rFonts w:ascii="Calibri" w:eastAsia="Times New Roman" w:hAnsi="Calibri" w:cs="Calibri"/>
          <w:color w:val="212121"/>
        </w:rPr>
        <w:t>and consistently with this guidance.  Specifically, this includes</w:t>
      </w:r>
      <w:r w:rsidR="00FF4060">
        <w:rPr>
          <w:rFonts w:ascii="Calibri" w:eastAsia="Times New Roman" w:hAnsi="Calibri" w:cs="Calibri"/>
          <w:color w:val="212121"/>
        </w:rPr>
        <w:t xml:space="preserve"> the capacity and capability</w:t>
      </w:r>
      <w:r w:rsidR="00781E6A">
        <w:rPr>
          <w:rFonts w:ascii="Calibri" w:eastAsia="Times New Roman" w:hAnsi="Calibri" w:cs="Calibri"/>
          <w:color w:val="212121"/>
        </w:rPr>
        <w:t>:</w:t>
      </w:r>
      <w:r w:rsidR="00373C6F">
        <w:rPr>
          <w:rFonts w:ascii="Calibri" w:eastAsia="Times New Roman" w:hAnsi="Calibri" w:cs="Calibri"/>
          <w:color w:val="212121"/>
        </w:rPr>
        <w:br/>
      </w:r>
    </w:p>
    <w:p w14:paraId="01C99892" w14:textId="0CD884CA" w:rsidR="00657D00" w:rsidRDefault="00657D00" w:rsidP="00657D00">
      <w:pPr>
        <w:pStyle w:val="ListParagraph"/>
        <w:numPr>
          <w:ilvl w:val="0"/>
          <w:numId w:val="16"/>
        </w:numPr>
        <w:shd w:val="clear" w:color="auto" w:fill="FFFFFF"/>
        <w:spacing w:after="120"/>
        <w:rPr>
          <w:rFonts w:ascii="Calibri" w:eastAsia="Times New Roman" w:hAnsi="Calibri" w:cs="Calibri"/>
          <w:color w:val="212121"/>
        </w:rPr>
      </w:pPr>
      <w:r>
        <w:rPr>
          <w:rFonts w:ascii="Calibri" w:eastAsia="Times New Roman" w:hAnsi="Calibri" w:cs="Calibri"/>
          <w:color w:val="212121"/>
        </w:rPr>
        <w:t>To establish</w:t>
      </w:r>
      <w:r w:rsidRPr="00657D00">
        <w:rPr>
          <w:rFonts w:ascii="Calibri" w:eastAsia="Times New Roman" w:hAnsi="Calibri" w:cs="Calibri"/>
          <w:color w:val="212121"/>
        </w:rPr>
        <w:t xml:space="preserve"> infusion capacity for </w:t>
      </w:r>
      <w:r w:rsidR="00F41035" w:rsidRPr="00657D00">
        <w:rPr>
          <w:rFonts w:ascii="Calibri" w:eastAsia="Times New Roman" w:hAnsi="Calibri" w:cs="Calibri"/>
          <w:color w:val="212121"/>
        </w:rPr>
        <w:t>individuals</w:t>
      </w:r>
      <w:r w:rsidR="00F41035">
        <w:rPr>
          <w:rFonts w:ascii="Calibri" w:eastAsia="Times New Roman" w:hAnsi="Calibri" w:cs="Calibri"/>
          <w:color w:val="212121"/>
        </w:rPr>
        <w:t xml:space="preserve"> with</w:t>
      </w:r>
      <w:r w:rsidR="00F41035" w:rsidRPr="00657D00">
        <w:rPr>
          <w:rFonts w:ascii="Calibri" w:eastAsia="Times New Roman" w:hAnsi="Calibri" w:cs="Calibri"/>
          <w:color w:val="212121"/>
        </w:rPr>
        <w:t xml:space="preserve"> </w:t>
      </w:r>
      <w:r w:rsidRPr="00657D00">
        <w:rPr>
          <w:rFonts w:ascii="Calibri" w:eastAsia="Times New Roman" w:hAnsi="Calibri" w:cs="Calibri"/>
          <w:color w:val="212121"/>
        </w:rPr>
        <w:t>COVID</w:t>
      </w:r>
      <w:r>
        <w:rPr>
          <w:rFonts w:ascii="Calibri" w:eastAsia="Times New Roman" w:hAnsi="Calibri" w:cs="Calibri"/>
          <w:color w:val="212121"/>
        </w:rPr>
        <w:t>-19</w:t>
      </w:r>
      <w:r w:rsidRPr="00657D00">
        <w:rPr>
          <w:rFonts w:ascii="Calibri" w:eastAsia="Times New Roman" w:hAnsi="Calibri" w:cs="Calibri"/>
          <w:color w:val="212121"/>
        </w:rPr>
        <w:t xml:space="preserve"> in accordance with the bamlanivimab EUA</w:t>
      </w:r>
      <w:r>
        <w:rPr>
          <w:rFonts w:ascii="Calibri" w:eastAsia="Times New Roman" w:hAnsi="Calibri" w:cs="Calibri"/>
          <w:color w:val="212121"/>
        </w:rPr>
        <w:t xml:space="preserve">; </w:t>
      </w:r>
    </w:p>
    <w:p w14:paraId="606EB2D7" w14:textId="559F3847" w:rsidR="00657D00" w:rsidRDefault="00657D00" w:rsidP="00657D00">
      <w:pPr>
        <w:pStyle w:val="ListParagraph"/>
        <w:numPr>
          <w:ilvl w:val="0"/>
          <w:numId w:val="16"/>
        </w:numPr>
        <w:shd w:val="clear" w:color="auto" w:fill="FFFFFF"/>
        <w:spacing w:after="120"/>
        <w:rPr>
          <w:rFonts w:ascii="Calibri" w:eastAsia="Times New Roman" w:hAnsi="Calibri" w:cs="Calibri"/>
          <w:color w:val="212121"/>
        </w:rPr>
      </w:pPr>
      <w:r>
        <w:rPr>
          <w:rFonts w:ascii="Calibri" w:eastAsia="Times New Roman" w:hAnsi="Calibri" w:cs="Calibri"/>
          <w:color w:val="212121"/>
        </w:rPr>
        <w:t xml:space="preserve">To </w:t>
      </w:r>
      <w:r w:rsidRPr="00657D00">
        <w:rPr>
          <w:rFonts w:ascii="Calibri" w:eastAsia="Times New Roman" w:hAnsi="Calibri" w:cs="Calibri"/>
          <w:color w:val="212121"/>
        </w:rPr>
        <w:t>implement the DPH Allocation Framework that selects patients from among those meeting eligibility criteria</w:t>
      </w:r>
      <w:r>
        <w:rPr>
          <w:rFonts w:ascii="Calibri" w:eastAsia="Times New Roman" w:hAnsi="Calibri" w:cs="Calibri"/>
          <w:color w:val="212121"/>
        </w:rPr>
        <w:t xml:space="preserve">; </w:t>
      </w:r>
    </w:p>
    <w:p w14:paraId="583ECF1D" w14:textId="034230BF" w:rsidR="00657D00" w:rsidRDefault="00657D00" w:rsidP="00657D00">
      <w:pPr>
        <w:pStyle w:val="ListParagraph"/>
        <w:numPr>
          <w:ilvl w:val="0"/>
          <w:numId w:val="16"/>
        </w:numPr>
        <w:shd w:val="clear" w:color="auto" w:fill="FFFFFF"/>
        <w:spacing w:after="120"/>
        <w:rPr>
          <w:rFonts w:ascii="Calibri" w:eastAsia="Times New Roman" w:hAnsi="Calibri" w:cs="Calibri"/>
          <w:color w:val="212121"/>
        </w:rPr>
      </w:pPr>
      <w:r>
        <w:rPr>
          <w:rFonts w:ascii="Calibri" w:eastAsia="Times New Roman" w:hAnsi="Calibri" w:cs="Calibri"/>
          <w:color w:val="212121"/>
        </w:rPr>
        <w:t xml:space="preserve">To </w:t>
      </w:r>
      <w:r w:rsidRPr="00657D00">
        <w:rPr>
          <w:rFonts w:ascii="Calibri" w:eastAsia="Times New Roman" w:hAnsi="Calibri" w:cs="Calibri"/>
          <w:color w:val="212121"/>
        </w:rPr>
        <w:t>establish infusion capacity for individuals</w:t>
      </w:r>
      <w:r w:rsidR="00F41035">
        <w:rPr>
          <w:rFonts w:ascii="Calibri" w:eastAsia="Times New Roman" w:hAnsi="Calibri" w:cs="Calibri"/>
          <w:color w:val="212121"/>
        </w:rPr>
        <w:t xml:space="preserve"> with</w:t>
      </w:r>
      <w:r w:rsidRPr="00657D00">
        <w:rPr>
          <w:rFonts w:ascii="Calibri" w:eastAsia="Times New Roman" w:hAnsi="Calibri" w:cs="Calibri"/>
          <w:color w:val="212121"/>
        </w:rPr>
        <w:t xml:space="preserve"> </w:t>
      </w:r>
      <w:r w:rsidR="00F41035" w:rsidRPr="00657D00">
        <w:rPr>
          <w:rFonts w:ascii="Calibri" w:eastAsia="Times New Roman" w:hAnsi="Calibri" w:cs="Calibri"/>
          <w:color w:val="212121"/>
        </w:rPr>
        <w:t>COVID</w:t>
      </w:r>
      <w:r w:rsidR="00F41035">
        <w:rPr>
          <w:rFonts w:ascii="Calibri" w:eastAsia="Times New Roman" w:hAnsi="Calibri" w:cs="Calibri"/>
          <w:color w:val="212121"/>
        </w:rPr>
        <w:t xml:space="preserve">-19 </w:t>
      </w:r>
      <w:r w:rsidRPr="00657D00">
        <w:rPr>
          <w:rFonts w:ascii="Calibri" w:eastAsia="Times New Roman" w:hAnsi="Calibri" w:cs="Calibri"/>
          <w:color w:val="212121"/>
        </w:rPr>
        <w:t xml:space="preserve">in accordance with all applicable state </w:t>
      </w:r>
      <w:r w:rsidR="001271B2">
        <w:rPr>
          <w:rFonts w:ascii="Calibri" w:eastAsia="Times New Roman" w:hAnsi="Calibri" w:cs="Calibri"/>
          <w:color w:val="212121"/>
        </w:rPr>
        <w:t xml:space="preserve">and federal </w:t>
      </w:r>
      <w:r w:rsidRPr="00657D00">
        <w:rPr>
          <w:rFonts w:ascii="Calibri" w:eastAsia="Times New Roman" w:hAnsi="Calibri" w:cs="Calibri"/>
          <w:color w:val="212121"/>
        </w:rPr>
        <w:t>requirements</w:t>
      </w:r>
      <w:r>
        <w:rPr>
          <w:rFonts w:ascii="Calibri" w:eastAsia="Times New Roman" w:hAnsi="Calibri" w:cs="Calibri"/>
          <w:color w:val="212121"/>
        </w:rPr>
        <w:t xml:space="preserve">; </w:t>
      </w:r>
    </w:p>
    <w:p w14:paraId="2343D626" w14:textId="168A30F1" w:rsidR="00781E6A" w:rsidRPr="0036026B" w:rsidRDefault="001D6224" w:rsidP="00781E6A">
      <w:pPr>
        <w:pStyle w:val="ListParagraph"/>
        <w:numPr>
          <w:ilvl w:val="0"/>
          <w:numId w:val="16"/>
        </w:numPr>
        <w:shd w:val="clear" w:color="auto" w:fill="FFFFFF"/>
        <w:spacing w:after="120"/>
        <w:rPr>
          <w:rFonts w:ascii="Calibri" w:eastAsia="Times New Roman" w:hAnsi="Calibri" w:cs="Calibri"/>
          <w:color w:val="212121"/>
        </w:rPr>
      </w:pPr>
      <w:r>
        <w:rPr>
          <w:rFonts w:ascii="Calibri" w:eastAsia="Times New Roman" w:hAnsi="Calibri" w:cs="Calibri"/>
          <w:color w:val="212121"/>
        </w:rPr>
        <w:t xml:space="preserve">To </w:t>
      </w:r>
      <w:r w:rsidRPr="001D6224">
        <w:rPr>
          <w:rFonts w:ascii="Calibri" w:eastAsia="Times New Roman" w:hAnsi="Calibri" w:cs="Calibri"/>
          <w:color w:val="212121"/>
        </w:rPr>
        <w:t>report data on a weekly basis to DPH as directed.</w:t>
      </w:r>
      <w:r w:rsidR="0036026B">
        <w:rPr>
          <w:rFonts w:ascii="Calibri" w:eastAsia="Times New Roman" w:hAnsi="Calibri" w:cs="Calibri"/>
          <w:color w:val="212121"/>
        </w:rPr>
        <w:br/>
      </w:r>
    </w:p>
    <w:p w14:paraId="1CF69C75" w14:textId="78E84A16" w:rsidR="00781E6A" w:rsidRPr="00B02CC8" w:rsidRDefault="00CB2AB6" w:rsidP="00781E6A">
      <w:pPr>
        <w:shd w:val="clear" w:color="auto" w:fill="FFFFFF"/>
        <w:spacing w:after="120"/>
        <w:rPr>
          <w:rFonts w:ascii="Calibri" w:eastAsia="Times New Roman" w:hAnsi="Calibri" w:cs="Calibri"/>
          <w:color w:val="212121"/>
        </w:rPr>
      </w:pPr>
      <w:r>
        <w:rPr>
          <w:rFonts w:ascii="Calibri" w:eastAsia="Times New Roman" w:hAnsi="Calibri" w:cs="Calibri"/>
          <w:color w:val="212121"/>
        </w:rPr>
        <w:t>L</w:t>
      </w:r>
      <w:r w:rsidR="002A2677">
        <w:rPr>
          <w:rFonts w:ascii="Calibri" w:eastAsia="Times New Roman" w:hAnsi="Calibri" w:cs="Calibri"/>
          <w:color w:val="212121"/>
        </w:rPr>
        <w:t>ong term care facilit</w:t>
      </w:r>
      <w:r>
        <w:rPr>
          <w:rFonts w:ascii="Calibri" w:eastAsia="Times New Roman" w:hAnsi="Calibri" w:cs="Calibri"/>
          <w:color w:val="212121"/>
        </w:rPr>
        <w:t xml:space="preserve">ies should complete the request form, </w:t>
      </w:r>
      <w:r w:rsidR="0008674C">
        <w:rPr>
          <w:rFonts w:ascii="Calibri" w:eastAsia="Times New Roman" w:hAnsi="Calibri" w:cs="Calibri"/>
          <w:color w:val="212121"/>
        </w:rPr>
        <w:t>A</w:t>
      </w:r>
      <w:r>
        <w:rPr>
          <w:rFonts w:ascii="Calibri" w:eastAsia="Times New Roman" w:hAnsi="Calibri" w:cs="Calibri"/>
          <w:color w:val="212121"/>
        </w:rPr>
        <w:t>ppendix A</w:t>
      </w:r>
      <w:r w:rsidR="0008674C">
        <w:rPr>
          <w:rFonts w:ascii="Calibri" w:eastAsia="Times New Roman" w:hAnsi="Calibri" w:cs="Calibri"/>
          <w:color w:val="212121"/>
        </w:rPr>
        <w:t>,</w:t>
      </w:r>
      <w:r>
        <w:rPr>
          <w:rFonts w:ascii="Calibri" w:eastAsia="Times New Roman" w:hAnsi="Calibri" w:cs="Calibri"/>
          <w:color w:val="212121"/>
        </w:rPr>
        <w:t xml:space="preserve"> when they identify residents who meet the infusion criteria outlined in this document and</w:t>
      </w:r>
      <w:r w:rsidR="0008674C">
        <w:rPr>
          <w:rFonts w:ascii="Calibri" w:eastAsia="Times New Roman" w:hAnsi="Calibri" w:cs="Calibri"/>
          <w:color w:val="212121"/>
        </w:rPr>
        <w:t xml:space="preserve"> in the</w:t>
      </w:r>
      <w:r>
        <w:rPr>
          <w:rFonts w:ascii="Calibri" w:eastAsia="Times New Roman" w:hAnsi="Calibri" w:cs="Calibri"/>
          <w:color w:val="212121"/>
        </w:rPr>
        <w:t xml:space="preserve"> EUA and have </w:t>
      </w:r>
      <w:r w:rsidR="00F9313A" w:rsidRPr="00F9313A">
        <w:rPr>
          <w:rFonts w:ascii="Calibri" w:eastAsia="Times New Roman" w:hAnsi="Calibri" w:cs="Calibri"/>
          <w:color w:val="212121"/>
        </w:rPr>
        <w:t>infusion capacity</w:t>
      </w:r>
      <w:r w:rsidR="00F9313A">
        <w:rPr>
          <w:rFonts w:ascii="Calibri" w:eastAsia="Times New Roman" w:hAnsi="Calibri" w:cs="Calibri"/>
          <w:color w:val="212121"/>
        </w:rPr>
        <w:t xml:space="preserve">. </w:t>
      </w:r>
    </w:p>
    <w:p w14:paraId="23C9221D" w14:textId="0BBACAB2" w:rsidR="003B1103" w:rsidRPr="005124E6" w:rsidRDefault="005124E6" w:rsidP="005124E6">
      <w:pPr>
        <w:spacing w:before="100" w:beforeAutospacing="1" w:after="100" w:afterAutospacing="1"/>
        <w:textAlignment w:val="baseline"/>
        <w:rPr>
          <w:u w:val="single"/>
        </w:rPr>
      </w:pPr>
      <w:r w:rsidRPr="005124E6">
        <w:t>II.</w:t>
      </w:r>
      <w:r w:rsidRPr="005124E6">
        <w:tab/>
      </w:r>
      <w:r w:rsidR="001226BF" w:rsidRPr="005124E6">
        <w:rPr>
          <w:u w:val="single"/>
        </w:rPr>
        <w:t>Authorized use</w:t>
      </w:r>
    </w:p>
    <w:p w14:paraId="669AA15D" w14:textId="1E84763C" w:rsidR="006D796E" w:rsidRDefault="006C0184" w:rsidP="002621CA">
      <w:pPr>
        <w:spacing w:before="100" w:beforeAutospacing="1" w:after="100" w:afterAutospacing="1"/>
        <w:textAlignment w:val="baseline"/>
      </w:pPr>
      <w:r>
        <w:t xml:space="preserve">Under the </w:t>
      </w:r>
      <w:r w:rsidR="00F05A16">
        <w:t>EUA</w:t>
      </w:r>
      <w:r>
        <w:t>, b</w:t>
      </w:r>
      <w:r w:rsidR="001226BF">
        <w:t xml:space="preserve">amlanivimab </w:t>
      </w:r>
      <w:r w:rsidR="00E14334">
        <w:t xml:space="preserve">is </w:t>
      </w:r>
      <w:r>
        <w:t xml:space="preserve">authorized for the treatment of mild to moderate COVID-19 </w:t>
      </w:r>
      <w:r w:rsidR="001226BF">
        <w:t xml:space="preserve">in adults and pediatric patients with positive results of direct SARS-CoV-2 viral testing who are 12 years of age and older weighing at least 40 kg and who are at high risk for progressing to severe COVID-19 and/or hospitalization. </w:t>
      </w:r>
      <w:r w:rsidR="006D796E">
        <w:t xml:space="preserve"> </w:t>
      </w:r>
    </w:p>
    <w:p w14:paraId="2D82911B" w14:textId="16D0942C" w:rsidR="001226BF" w:rsidRDefault="006D796E" w:rsidP="00373C6F">
      <w:pPr>
        <w:spacing w:before="100" w:beforeAutospacing="1" w:after="100" w:afterAutospacing="1"/>
        <w:textAlignment w:val="baseline"/>
      </w:pPr>
      <w:r>
        <w:t>The criteria for use are specified in the EUA, currently or as it may be updated.  Additionally, it is notable that t</w:t>
      </w:r>
      <w:r w:rsidR="002621CA">
        <w:t>he clinical trial</w:t>
      </w:r>
      <w:r w:rsidR="00E81BC5">
        <w:t>s</w:t>
      </w:r>
      <w:r w:rsidR="002621CA">
        <w:t xml:space="preserve"> that form</w:t>
      </w:r>
      <w:r w:rsidR="00E81BC5">
        <w:t>ed</w:t>
      </w:r>
      <w:r w:rsidR="002621CA">
        <w:t xml:space="preserve"> the basis for the EUA</w:t>
      </w:r>
      <w:r w:rsidR="001271B2">
        <w:t>s</w:t>
      </w:r>
      <w:r w:rsidR="002621CA">
        <w:t xml:space="preserve"> required that bamlanivimab be administered within 72 hours of </w:t>
      </w:r>
      <w:r w:rsidR="006C0184">
        <w:t xml:space="preserve">the time that a positive </w:t>
      </w:r>
      <w:r w:rsidR="002621CA">
        <w:t xml:space="preserve">SARS-CoV-2 </w:t>
      </w:r>
      <w:r>
        <w:t xml:space="preserve">sample </w:t>
      </w:r>
      <w:r w:rsidR="006C0184">
        <w:t>was</w:t>
      </w:r>
      <w:r w:rsidR="002621CA">
        <w:t xml:space="preserve"> sent. </w:t>
      </w:r>
      <w:r>
        <w:t xml:space="preserve">It is </w:t>
      </w:r>
      <w:r w:rsidR="002621CA">
        <w:t>strongly encourage</w:t>
      </w:r>
      <w:r>
        <w:t>d that</w:t>
      </w:r>
      <w:r w:rsidR="002621CA">
        <w:t xml:space="preserve"> </w:t>
      </w:r>
      <w:r w:rsidR="0008674C">
        <w:t xml:space="preserve">facilities </w:t>
      </w:r>
      <w:r w:rsidR="002621CA">
        <w:t xml:space="preserve">providing this therapy to </w:t>
      </w:r>
      <w:r w:rsidR="00A95CB3">
        <w:t>residents</w:t>
      </w:r>
      <w:r w:rsidR="002621CA">
        <w:t xml:space="preserve"> adhere as closely to that as possible</w:t>
      </w:r>
      <w:r w:rsidR="008E3070">
        <w:t>,</w:t>
      </w:r>
      <w:r w:rsidR="006C0184">
        <w:t xml:space="preserve"> as there are no data for efficacy outside that timeline.</w:t>
      </w:r>
    </w:p>
    <w:p w14:paraId="4064ECA9" w14:textId="7595B03E" w:rsidR="001226BF" w:rsidRPr="005124E6" w:rsidRDefault="005124E6" w:rsidP="005124E6">
      <w:pPr>
        <w:textAlignment w:val="baseline"/>
        <w:rPr>
          <w:u w:val="single"/>
        </w:rPr>
      </w:pPr>
      <w:r w:rsidRPr="005124E6">
        <w:t>III.</w:t>
      </w:r>
      <w:r w:rsidRPr="005124E6">
        <w:tab/>
      </w:r>
      <w:r w:rsidR="001226BF" w:rsidRPr="005124E6">
        <w:rPr>
          <w:u w:val="single"/>
        </w:rPr>
        <w:t>Allocation in the event of scarcity</w:t>
      </w:r>
    </w:p>
    <w:p w14:paraId="171A763F" w14:textId="6BE80EB7" w:rsidR="001226BF" w:rsidRDefault="001226BF" w:rsidP="001226BF">
      <w:pPr>
        <w:textAlignment w:val="baseline"/>
      </w:pPr>
    </w:p>
    <w:p w14:paraId="40897665" w14:textId="274EB447" w:rsidR="001226BF" w:rsidRDefault="00F05A16" w:rsidP="001226BF">
      <w:pPr>
        <w:textAlignment w:val="baseline"/>
      </w:pPr>
      <w:r>
        <w:t>D</w:t>
      </w:r>
      <w:r w:rsidR="001226BF">
        <w:t xml:space="preserve">ue to </w:t>
      </w:r>
      <w:r w:rsidR="005124E6">
        <w:t>the</w:t>
      </w:r>
      <w:r w:rsidR="001226BF">
        <w:t xml:space="preserve"> </w:t>
      </w:r>
      <w:r>
        <w:t xml:space="preserve">limited </w:t>
      </w:r>
      <w:r w:rsidR="001226BF">
        <w:t xml:space="preserve">supply and </w:t>
      </w:r>
      <w:r w:rsidR="005124E6">
        <w:t xml:space="preserve">the </w:t>
      </w:r>
      <w:r w:rsidR="001226BF">
        <w:t>logistical challenges in establishing infusion centers capable of delivering bamlanivimab, the demand for the drug</w:t>
      </w:r>
      <w:r w:rsidR="001271B2">
        <w:t>s</w:t>
      </w:r>
      <w:r w:rsidR="001226BF">
        <w:t xml:space="preserve"> may exceed </w:t>
      </w:r>
      <w:r>
        <w:t>available doses</w:t>
      </w:r>
      <w:r w:rsidR="001226BF">
        <w:t xml:space="preserve">. </w:t>
      </w:r>
    </w:p>
    <w:p w14:paraId="18466643" w14:textId="24931CCD" w:rsidR="00956631" w:rsidRPr="001226BF" w:rsidRDefault="00956631" w:rsidP="001226BF">
      <w:pPr>
        <w:pStyle w:val="ListParagraph"/>
        <w:numPr>
          <w:ilvl w:val="1"/>
          <w:numId w:val="10"/>
        </w:numPr>
        <w:spacing w:before="100" w:beforeAutospacing="1" w:after="100" w:afterAutospacing="1"/>
        <w:textAlignment w:val="baseline"/>
        <w:rPr>
          <w:rFonts w:ascii="Calibri" w:eastAsia="Times New Roman" w:hAnsi="Calibri" w:cs="Calibri"/>
          <w:color w:val="000000"/>
          <w:u w:val="single"/>
        </w:rPr>
      </w:pPr>
      <w:r w:rsidRPr="001226BF">
        <w:rPr>
          <w:rFonts w:ascii="Calibri" w:eastAsia="Times New Roman" w:hAnsi="Calibri" w:cs="Calibri"/>
          <w:color w:val="000000"/>
          <w:u w:val="single"/>
        </w:rPr>
        <w:t xml:space="preserve">Clinical </w:t>
      </w:r>
      <w:r w:rsidR="009E430C" w:rsidRPr="001226BF">
        <w:rPr>
          <w:rFonts w:ascii="Calibri" w:eastAsia="Times New Roman" w:hAnsi="Calibri" w:cs="Calibri"/>
          <w:color w:val="000000"/>
          <w:u w:val="single"/>
        </w:rPr>
        <w:t>prioritization</w:t>
      </w:r>
    </w:p>
    <w:p w14:paraId="1862E24F" w14:textId="3A83233F" w:rsidR="002C6563" w:rsidRDefault="004D3CD6" w:rsidP="00E322B3">
      <w:pPr>
        <w:ind w:left="1080"/>
        <w:textAlignment w:val="baseline"/>
        <w:rPr>
          <w:rFonts w:ascii="Calibri" w:eastAsia="Times New Roman" w:hAnsi="Calibri" w:cs="Calibri"/>
          <w:color w:val="000000"/>
        </w:rPr>
      </w:pPr>
      <w:r>
        <w:rPr>
          <w:rFonts w:ascii="Calibri" w:eastAsia="Times New Roman" w:hAnsi="Calibri" w:cs="Calibri"/>
          <w:color w:val="000000"/>
        </w:rPr>
        <w:t xml:space="preserve">Tier 1: </w:t>
      </w:r>
      <w:r w:rsidR="002C6563">
        <w:rPr>
          <w:rFonts w:ascii="Calibri" w:eastAsia="Times New Roman" w:hAnsi="Calibri" w:cs="Calibri"/>
          <w:color w:val="000000"/>
        </w:rPr>
        <w:t>Patients who are age</w:t>
      </w:r>
      <w:r w:rsidR="00CD19AE">
        <w:rPr>
          <w:rFonts w:ascii="Calibri" w:eastAsia="Times New Roman" w:hAnsi="Calibri" w:cs="Calibri"/>
          <w:color w:val="000000"/>
        </w:rPr>
        <w:t>, ≥</w:t>
      </w:r>
      <w:r w:rsidR="002C6563">
        <w:rPr>
          <w:rFonts w:ascii="Calibri" w:eastAsia="Times New Roman" w:hAnsi="Calibri" w:cs="Calibri"/>
          <w:color w:val="000000"/>
        </w:rPr>
        <w:t xml:space="preserve"> 65</w:t>
      </w:r>
      <w:r w:rsidR="00781DC3">
        <w:rPr>
          <w:rFonts w:ascii="Calibri" w:eastAsia="Times New Roman" w:hAnsi="Calibri" w:cs="Calibri"/>
          <w:color w:val="000000"/>
        </w:rPr>
        <w:t xml:space="preserve"> years</w:t>
      </w:r>
      <w:r w:rsidR="002C6563">
        <w:rPr>
          <w:rFonts w:ascii="Calibri" w:eastAsia="Times New Roman" w:hAnsi="Calibri" w:cs="Calibri"/>
          <w:color w:val="000000"/>
        </w:rPr>
        <w:t xml:space="preserve"> </w:t>
      </w:r>
      <w:r w:rsidR="00FE0C46">
        <w:rPr>
          <w:rFonts w:ascii="Calibri" w:eastAsia="Times New Roman" w:hAnsi="Calibri" w:cs="Calibri"/>
          <w:color w:val="000000"/>
        </w:rPr>
        <w:t>and</w:t>
      </w:r>
      <w:r w:rsidR="00842DB0">
        <w:rPr>
          <w:rFonts w:ascii="Calibri" w:eastAsia="Times New Roman" w:hAnsi="Calibri" w:cs="Calibri"/>
          <w:color w:val="000000"/>
        </w:rPr>
        <w:t xml:space="preserve"> patients aged 18 and older with </w:t>
      </w:r>
      <w:r w:rsidR="002C6563">
        <w:rPr>
          <w:rFonts w:ascii="Calibri" w:eastAsia="Times New Roman" w:hAnsi="Calibri" w:cs="Calibri"/>
          <w:color w:val="000000"/>
        </w:rPr>
        <w:t xml:space="preserve">BMI </w:t>
      </w:r>
      <w:r w:rsidR="00CD19AE">
        <w:rPr>
          <w:rFonts w:ascii="Calibri" w:eastAsia="Times New Roman" w:hAnsi="Calibri" w:cs="Calibri"/>
          <w:color w:val="000000"/>
        </w:rPr>
        <w:t>≥</w:t>
      </w:r>
      <w:r w:rsidR="002C6563">
        <w:rPr>
          <w:rFonts w:ascii="Calibri" w:eastAsia="Times New Roman" w:hAnsi="Calibri" w:cs="Calibri"/>
          <w:color w:val="000000"/>
        </w:rPr>
        <w:t xml:space="preserve"> 35</w:t>
      </w:r>
      <w:r w:rsidR="009675ED">
        <w:rPr>
          <w:rFonts w:ascii="Calibri" w:eastAsia="Times New Roman" w:hAnsi="Calibri" w:cs="Calibri"/>
          <w:color w:val="000000"/>
        </w:rPr>
        <w:t>.</w:t>
      </w:r>
      <w:r>
        <w:rPr>
          <w:rStyle w:val="FootnoteReference"/>
          <w:rFonts w:ascii="Calibri" w:eastAsia="Times New Roman" w:hAnsi="Calibri" w:cs="Calibri"/>
          <w:color w:val="000000"/>
        </w:rPr>
        <w:footnoteReference w:id="1"/>
      </w:r>
      <w:r w:rsidR="002C6563">
        <w:rPr>
          <w:rFonts w:ascii="Calibri" w:eastAsia="Times New Roman" w:hAnsi="Calibri" w:cs="Calibri"/>
          <w:color w:val="000000"/>
        </w:rPr>
        <w:t xml:space="preserve"> </w:t>
      </w:r>
    </w:p>
    <w:p w14:paraId="767D7427" w14:textId="77777777" w:rsidR="002621CA" w:rsidRPr="00FE0C46" w:rsidRDefault="002621CA" w:rsidP="002C6563">
      <w:pPr>
        <w:textAlignment w:val="baseline"/>
        <w:rPr>
          <w:rFonts w:ascii="Calibri" w:eastAsia="Times New Roman" w:hAnsi="Calibri" w:cs="Calibri"/>
          <w:color w:val="000000"/>
        </w:rPr>
      </w:pPr>
    </w:p>
    <w:p w14:paraId="7AB26027" w14:textId="7FB68336" w:rsidR="002C6563" w:rsidRDefault="004D3CD6" w:rsidP="006D796E">
      <w:pPr>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Tier 2: </w:t>
      </w:r>
      <w:r w:rsidR="002C6563">
        <w:rPr>
          <w:rFonts w:ascii="Calibri" w:eastAsia="Times New Roman" w:hAnsi="Calibri" w:cs="Calibri"/>
          <w:color w:val="000000"/>
        </w:rPr>
        <w:t>All other patients eligible under the EUA</w:t>
      </w:r>
      <w:r w:rsidR="009675ED">
        <w:rPr>
          <w:rFonts w:ascii="Calibri" w:eastAsia="Times New Roman" w:hAnsi="Calibri" w:cs="Calibri"/>
          <w:color w:val="000000"/>
        </w:rPr>
        <w:t>.</w:t>
      </w:r>
    </w:p>
    <w:p w14:paraId="4F4E1371" w14:textId="014CAAE0" w:rsidR="00FE0C46" w:rsidRDefault="00FE0C46" w:rsidP="002C6563">
      <w:pPr>
        <w:textAlignment w:val="baseline"/>
        <w:rPr>
          <w:rFonts w:ascii="Calibri" w:eastAsia="Times New Roman" w:hAnsi="Calibri" w:cs="Calibri"/>
          <w:color w:val="000000"/>
        </w:rPr>
      </w:pPr>
    </w:p>
    <w:p w14:paraId="4B944437" w14:textId="1F17CD45" w:rsidR="00FE0C46" w:rsidRPr="001226BF" w:rsidRDefault="00FE0C46" w:rsidP="001226BF">
      <w:pPr>
        <w:pStyle w:val="ListParagraph"/>
        <w:numPr>
          <w:ilvl w:val="1"/>
          <w:numId w:val="10"/>
        </w:numPr>
        <w:textAlignment w:val="baseline"/>
        <w:rPr>
          <w:rFonts w:ascii="Calibri" w:eastAsia="Times New Roman" w:hAnsi="Calibri" w:cs="Calibri"/>
          <w:color w:val="000000"/>
          <w:u w:val="single"/>
        </w:rPr>
      </w:pPr>
      <w:r w:rsidRPr="001226BF">
        <w:rPr>
          <w:rFonts w:ascii="Calibri" w:eastAsia="Times New Roman" w:hAnsi="Calibri" w:cs="Calibri"/>
          <w:color w:val="000000"/>
          <w:u w:val="single"/>
        </w:rPr>
        <w:t>Equit</w:t>
      </w:r>
      <w:r w:rsidR="006D796E">
        <w:rPr>
          <w:rFonts w:ascii="Calibri" w:eastAsia="Times New Roman" w:hAnsi="Calibri" w:cs="Calibri"/>
          <w:color w:val="000000"/>
          <w:u w:val="single"/>
        </w:rPr>
        <w:t>able allocation</w:t>
      </w:r>
    </w:p>
    <w:p w14:paraId="72276A63" w14:textId="6D294415" w:rsidR="00FE0C46" w:rsidRDefault="00FE0C46" w:rsidP="00FE0C46">
      <w:pPr>
        <w:textAlignment w:val="baseline"/>
        <w:rPr>
          <w:rFonts w:ascii="Calibri" w:eastAsia="Times New Roman" w:hAnsi="Calibri" w:cs="Calibri"/>
          <w:color w:val="000000"/>
        </w:rPr>
      </w:pPr>
    </w:p>
    <w:p w14:paraId="07DF1487" w14:textId="067EE034" w:rsidR="005124E6" w:rsidRDefault="005124E6" w:rsidP="005124E6">
      <w:pPr>
        <w:ind w:left="1440"/>
        <w:textAlignment w:val="baseline"/>
        <w:rPr>
          <w:rFonts w:ascii="Calibri" w:eastAsia="Times New Roman" w:hAnsi="Calibri" w:cs="Calibri"/>
          <w:color w:val="000000"/>
        </w:rPr>
      </w:pPr>
      <w:r>
        <w:rPr>
          <w:rFonts w:ascii="Calibri" w:eastAsia="Times New Roman" w:hAnsi="Calibri" w:cs="Calibri"/>
          <w:color w:val="000000"/>
        </w:rPr>
        <w:t xml:space="preserve">Given the disproportionate rates of hospitalizations and deaths and the disproportionate impact of COVID-19 on certain communities with high social </w:t>
      </w:r>
      <w:r w:rsidR="006D0397">
        <w:rPr>
          <w:rFonts w:ascii="Calibri" w:eastAsia="Times New Roman" w:hAnsi="Calibri" w:cs="Calibri"/>
          <w:color w:val="000000"/>
        </w:rPr>
        <w:t xml:space="preserve">vulnerability, including long term care residents, </w:t>
      </w:r>
      <w:r>
        <w:rPr>
          <w:rFonts w:ascii="Calibri" w:eastAsia="Times New Roman" w:hAnsi="Calibri" w:cs="Calibri"/>
          <w:color w:val="000000"/>
        </w:rPr>
        <w:t xml:space="preserve">and the public health importance of mitigating severity of disease in the hardest hit areas, it is a priority to ensure that socially vulnerable patients receive </w:t>
      </w:r>
      <w:r w:rsidR="00462716">
        <w:rPr>
          <w:rFonts w:ascii="Calibri" w:eastAsia="Times New Roman" w:hAnsi="Calibri" w:cs="Calibri"/>
          <w:color w:val="000000"/>
        </w:rPr>
        <w:t xml:space="preserve">equitable </w:t>
      </w:r>
      <w:r>
        <w:rPr>
          <w:rFonts w:ascii="Calibri" w:eastAsia="Times New Roman" w:hAnsi="Calibri" w:cs="Calibri"/>
          <w:color w:val="000000"/>
        </w:rPr>
        <w:t xml:space="preserve">access to bamlanivimab that </w:t>
      </w:r>
      <w:r w:rsidR="006D796E">
        <w:rPr>
          <w:rFonts w:ascii="Calibri" w:eastAsia="Times New Roman" w:hAnsi="Calibri" w:cs="Calibri"/>
          <w:color w:val="000000"/>
        </w:rPr>
        <w:t>mitigates the</w:t>
      </w:r>
      <w:r>
        <w:rPr>
          <w:rFonts w:ascii="Calibri" w:eastAsia="Times New Roman" w:hAnsi="Calibri" w:cs="Calibri"/>
          <w:color w:val="000000"/>
        </w:rPr>
        <w:t xml:space="preserve"> </w:t>
      </w:r>
      <w:r w:rsidR="00462716">
        <w:rPr>
          <w:rFonts w:ascii="Calibri" w:eastAsia="Times New Roman" w:hAnsi="Calibri" w:cs="Calibri"/>
          <w:color w:val="000000"/>
        </w:rPr>
        <w:t>disproportionate</w:t>
      </w:r>
      <w:r>
        <w:rPr>
          <w:rFonts w:ascii="Calibri" w:eastAsia="Times New Roman" w:hAnsi="Calibri" w:cs="Calibri"/>
          <w:color w:val="000000"/>
        </w:rPr>
        <w:t xml:space="preserve"> impact</w:t>
      </w:r>
      <w:r w:rsidRPr="00944C73">
        <w:rPr>
          <w:rFonts w:ascii="Calibri" w:eastAsia="Times New Roman" w:hAnsi="Calibri" w:cs="Calibri"/>
        </w:rPr>
        <w:t>.</w:t>
      </w:r>
      <w:r w:rsidR="00462716" w:rsidRPr="00944C73">
        <w:rPr>
          <w:rStyle w:val="FootnoteReference"/>
          <w:rFonts w:ascii="Calibri" w:eastAsia="Times New Roman" w:hAnsi="Calibri" w:cs="Calibri"/>
          <w:i/>
          <w:iCs/>
        </w:rPr>
        <w:t xml:space="preserve"> </w:t>
      </w:r>
      <w:r w:rsidR="00462716" w:rsidRPr="00944C73">
        <w:rPr>
          <w:rStyle w:val="FootnoteReference"/>
          <w:rFonts w:ascii="Calibri" w:eastAsia="Times New Roman" w:hAnsi="Calibri" w:cs="Calibri"/>
          <w:i/>
          <w:iCs/>
        </w:rPr>
        <w:footnoteReference w:id="2"/>
      </w:r>
      <w:r w:rsidRPr="00944C73">
        <w:rPr>
          <w:rFonts w:ascii="Calibri" w:eastAsia="Times New Roman" w:hAnsi="Calibri" w:cs="Calibri"/>
        </w:rPr>
        <w:t xml:space="preserve"> </w:t>
      </w:r>
    </w:p>
    <w:p w14:paraId="142325C9" w14:textId="77777777" w:rsidR="005124E6" w:rsidRDefault="005124E6" w:rsidP="005124E6">
      <w:pPr>
        <w:textAlignment w:val="baseline"/>
        <w:rPr>
          <w:rFonts w:ascii="Calibri" w:eastAsia="Times New Roman" w:hAnsi="Calibri" w:cs="Calibri"/>
          <w:color w:val="000000"/>
        </w:rPr>
      </w:pPr>
    </w:p>
    <w:p w14:paraId="6325DE06" w14:textId="6EA4253D" w:rsidR="00FE0C46" w:rsidRDefault="005124E6" w:rsidP="001226BF">
      <w:pPr>
        <w:ind w:left="1440"/>
        <w:textAlignment w:val="baseline"/>
        <w:rPr>
          <w:rFonts w:ascii="Calibri" w:eastAsia="Times New Roman" w:hAnsi="Calibri" w:cs="Calibri"/>
          <w:color w:val="000000"/>
        </w:rPr>
      </w:pPr>
      <w:r>
        <w:rPr>
          <w:rFonts w:ascii="Calibri" w:eastAsia="Times New Roman" w:hAnsi="Calibri" w:cs="Calibri"/>
          <w:color w:val="000000"/>
        </w:rPr>
        <w:t>Potential b</w:t>
      </w:r>
      <w:r w:rsidR="00F030BC">
        <w:rPr>
          <w:rFonts w:ascii="Calibri" w:eastAsia="Times New Roman" w:hAnsi="Calibri" w:cs="Calibri"/>
          <w:color w:val="000000"/>
        </w:rPr>
        <w:t>arriers to equitable distribution</w:t>
      </w:r>
      <w:r w:rsidR="00FE0C46">
        <w:rPr>
          <w:rFonts w:ascii="Calibri" w:eastAsia="Times New Roman" w:hAnsi="Calibri" w:cs="Calibri"/>
          <w:color w:val="000000"/>
        </w:rPr>
        <w:t xml:space="preserve"> </w:t>
      </w:r>
      <w:r>
        <w:rPr>
          <w:rFonts w:ascii="Calibri" w:eastAsia="Times New Roman" w:hAnsi="Calibri" w:cs="Calibri"/>
          <w:color w:val="000000"/>
        </w:rPr>
        <w:t>of bamlanivimab</w:t>
      </w:r>
      <w:r w:rsidR="001271B2" w:rsidRPr="001271B2">
        <w:rPr>
          <w:rFonts w:ascii="Calibri" w:eastAsia="Times New Roman" w:hAnsi="Calibri" w:cs="Calibri"/>
          <w:bCs/>
          <w:color w:val="212121"/>
        </w:rPr>
        <w:t xml:space="preserve"> </w:t>
      </w:r>
      <w:r w:rsidR="00FE0C46">
        <w:rPr>
          <w:rFonts w:ascii="Calibri" w:eastAsia="Times New Roman" w:hAnsi="Calibri" w:cs="Calibri"/>
          <w:color w:val="000000"/>
        </w:rPr>
        <w:t xml:space="preserve">include </w:t>
      </w:r>
      <w:r>
        <w:rPr>
          <w:rFonts w:ascii="Calibri" w:eastAsia="Times New Roman" w:hAnsi="Calibri" w:cs="Calibri"/>
          <w:color w:val="000000"/>
        </w:rPr>
        <w:t xml:space="preserve">the possibility </w:t>
      </w:r>
      <w:r w:rsidR="00FE0C46">
        <w:rPr>
          <w:rFonts w:ascii="Calibri" w:eastAsia="Times New Roman" w:hAnsi="Calibri" w:cs="Calibri"/>
          <w:color w:val="000000"/>
        </w:rPr>
        <w:t xml:space="preserve">of bias in identification and referral of patients who may be eligible </w:t>
      </w:r>
      <w:r>
        <w:rPr>
          <w:rFonts w:ascii="Calibri" w:eastAsia="Times New Roman" w:hAnsi="Calibri" w:cs="Calibri"/>
          <w:color w:val="000000"/>
        </w:rPr>
        <w:t>under the EUA</w:t>
      </w:r>
      <w:r w:rsidR="004B16E1">
        <w:rPr>
          <w:rFonts w:ascii="Calibri" w:eastAsia="Times New Roman" w:hAnsi="Calibri" w:cs="Calibri"/>
          <w:color w:val="000000"/>
        </w:rPr>
        <w:t xml:space="preserve"> and at highest risk of complications of COVID-19</w:t>
      </w:r>
      <w:r w:rsidR="00F030BC">
        <w:rPr>
          <w:rFonts w:ascii="Calibri" w:eastAsia="Times New Roman" w:hAnsi="Calibri" w:cs="Calibri"/>
          <w:color w:val="000000"/>
        </w:rPr>
        <w:t>,</w:t>
      </w:r>
      <w:r w:rsidR="00FE0C46">
        <w:rPr>
          <w:rFonts w:ascii="Calibri" w:eastAsia="Times New Roman" w:hAnsi="Calibri" w:cs="Calibri"/>
          <w:color w:val="000000"/>
        </w:rPr>
        <w:t xml:space="preserve"> anticipated difficulty scheduling socially vulnerable patients for infusion appointments</w:t>
      </w:r>
      <w:r w:rsidR="00F030BC">
        <w:rPr>
          <w:rFonts w:ascii="Calibri" w:eastAsia="Times New Roman" w:hAnsi="Calibri" w:cs="Calibri"/>
          <w:color w:val="000000"/>
        </w:rPr>
        <w:t xml:space="preserve">, </w:t>
      </w:r>
      <w:r w:rsidR="00FE0C46">
        <w:rPr>
          <w:rFonts w:ascii="Calibri" w:eastAsia="Times New Roman" w:hAnsi="Calibri" w:cs="Calibri"/>
          <w:color w:val="000000"/>
        </w:rPr>
        <w:t xml:space="preserve">and </w:t>
      </w:r>
      <w:r w:rsidR="00F030BC">
        <w:rPr>
          <w:rFonts w:ascii="Calibri" w:eastAsia="Times New Roman" w:hAnsi="Calibri" w:cs="Calibri"/>
          <w:color w:val="000000"/>
        </w:rPr>
        <w:t xml:space="preserve">challenges in obtaining transportation </w:t>
      </w:r>
      <w:r w:rsidR="00FE0C46">
        <w:rPr>
          <w:rFonts w:ascii="Calibri" w:eastAsia="Times New Roman" w:hAnsi="Calibri" w:cs="Calibri"/>
          <w:color w:val="000000"/>
        </w:rPr>
        <w:t>to infusion centers.</w:t>
      </w:r>
    </w:p>
    <w:p w14:paraId="25565DBD" w14:textId="7D56F3FF" w:rsidR="00FE0C46" w:rsidRDefault="00FE0C46" w:rsidP="00FE0C46">
      <w:pPr>
        <w:textAlignment w:val="baseline"/>
        <w:rPr>
          <w:rFonts w:ascii="Calibri" w:eastAsia="Times New Roman" w:hAnsi="Calibri" w:cs="Calibri"/>
          <w:color w:val="000000"/>
        </w:rPr>
      </w:pPr>
    </w:p>
    <w:p w14:paraId="7543F829" w14:textId="6B52743E" w:rsidR="00FE0C46" w:rsidRDefault="002A2677" w:rsidP="001226BF">
      <w:pPr>
        <w:ind w:left="1440"/>
        <w:textAlignment w:val="baseline"/>
        <w:rPr>
          <w:rFonts w:ascii="Calibri" w:eastAsia="Times New Roman" w:hAnsi="Calibri" w:cs="Calibri"/>
          <w:color w:val="000000"/>
        </w:rPr>
      </w:pPr>
      <w:r>
        <w:rPr>
          <w:rFonts w:ascii="Calibri" w:eastAsia="Times New Roman" w:hAnsi="Calibri" w:cs="Calibri"/>
          <w:color w:val="000000"/>
        </w:rPr>
        <w:t>Long term care facilitie</w:t>
      </w:r>
      <w:r w:rsidR="00462716">
        <w:rPr>
          <w:rFonts w:ascii="Calibri" w:eastAsia="Times New Roman" w:hAnsi="Calibri" w:cs="Calibri"/>
          <w:color w:val="000000"/>
        </w:rPr>
        <w:t>s which</w:t>
      </w:r>
      <w:r w:rsidR="00FE0C46">
        <w:rPr>
          <w:rFonts w:ascii="Calibri" w:eastAsia="Times New Roman" w:hAnsi="Calibri" w:cs="Calibri"/>
          <w:color w:val="000000"/>
        </w:rPr>
        <w:t xml:space="preserve"> </w:t>
      </w:r>
      <w:r w:rsidR="00462716">
        <w:rPr>
          <w:rFonts w:ascii="Calibri" w:eastAsia="Times New Roman" w:hAnsi="Calibri" w:cs="Calibri"/>
          <w:color w:val="000000"/>
        </w:rPr>
        <w:t xml:space="preserve">elect to receive an allocation of </w:t>
      </w:r>
      <w:r w:rsidR="00FE0C46">
        <w:rPr>
          <w:rFonts w:ascii="Calibri" w:eastAsia="Times New Roman" w:hAnsi="Calibri" w:cs="Calibri"/>
          <w:color w:val="000000"/>
        </w:rPr>
        <w:t>bamlanivimab will be</w:t>
      </w:r>
      <w:r w:rsidR="00FE0C46" w:rsidRPr="00B1599C">
        <w:rPr>
          <w:rFonts w:ascii="Calibri" w:eastAsia="Times New Roman" w:hAnsi="Calibri" w:cs="Calibri"/>
          <w:color w:val="000000"/>
        </w:rPr>
        <w:t xml:space="preserve"> expected to </w:t>
      </w:r>
      <w:r w:rsidR="00FE0C46">
        <w:rPr>
          <w:rFonts w:ascii="Calibri" w:eastAsia="Times New Roman" w:hAnsi="Calibri" w:cs="Calibri"/>
          <w:color w:val="000000"/>
        </w:rPr>
        <w:t xml:space="preserve">operate a delivery system and allocation framework that </w:t>
      </w:r>
      <w:r w:rsidR="006C0184">
        <w:rPr>
          <w:rFonts w:ascii="Calibri" w:eastAsia="Times New Roman" w:hAnsi="Calibri" w:cs="Calibri"/>
          <w:color w:val="000000"/>
        </w:rPr>
        <w:t xml:space="preserve">intends </w:t>
      </w:r>
      <w:r w:rsidR="00FE0C46">
        <w:rPr>
          <w:rFonts w:ascii="Calibri" w:eastAsia="Times New Roman" w:hAnsi="Calibri" w:cs="Calibri"/>
          <w:color w:val="000000"/>
        </w:rPr>
        <w:t xml:space="preserve">to meet </w:t>
      </w:r>
      <w:r w:rsidR="00944C73">
        <w:rPr>
          <w:rFonts w:ascii="Calibri" w:eastAsia="Times New Roman" w:hAnsi="Calibri" w:cs="Calibri"/>
          <w:color w:val="000000"/>
        </w:rPr>
        <w:t xml:space="preserve">the </w:t>
      </w:r>
      <w:r w:rsidR="00FE0C46">
        <w:rPr>
          <w:rFonts w:ascii="Calibri" w:eastAsia="Times New Roman" w:hAnsi="Calibri" w:cs="Calibri"/>
          <w:color w:val="000000"/>
        </w:rPr>
        <w:t>goal</w:t>
      </w:r>
      <w:r w:rsidR="00944C73">
        <w:rPr>
          <w:rFonts w:ascii="Calibri" w:eastAsia="Times New Roman" w:hAnsi="Calibri" w:cs="Calibri"/>
          <w:color w:val="000000"/>
        </w:rPr>
        <w:t xml:space="preserve"> of equitable distribution</w:t>
      </w:r>
      <w:r w:rsidR="00FE0C46">
        <w:rPr>
          <w:rFonts w:ascii="Calibri" w:eastAsia="Times New Roman" w:hAnsi="Calibri" w:cs="Calibri"/>
          <w:color w:val="000000"/>
        </w:rPr>
        <w:t xml:space="preserve"> and will be required to produce regular reporting with relevant metrics.</w:t>
      </w:r>
      <w:r w:rsidR="00485A98">
        <w:rPr>
          <w:rFonts w:ascii="Calibri" w:eastAsia="Times New Roman" w:hAnsi="Calibri" w:cs="Calibri"/>
          <w:color w:val="000000"/>
        </w:rPr>
        <w:t xml:space="preserve">  These metrics include the resident’s race, ethnicity, age category, preferred language and sex.  </w:t>
      </w:r>
      <w:r w:rsidR="00FE0C46">
        <w:rPr>
          <w:rFonts w:ascii="Calibri" w:eastAsia="Times New Roman" w:hAnsi="Calibri" w:cs="Calibri"/>
          <w:color w:val="000000"/>
        </w:rPr>
        <w:t xml:space="preserve"> </w:t>
      </w:r>
    </w:p>
    <w:p w14:paraId="3286D586" w14:textId="77777777" w:rsidR="00956631" w:rsidRPr="00956631" w:rsidRDefault="00956631" w:rsidP="00956631">
      <w:pPr>
        <w:textAlignment w:val="baseline"/>
        <w:rPr>
          <w:rFonts w:ascii="Calibri" w:eastAsia="Times New Roman" w:hAnsi="Calibri" w:cs="Calibri"/>
          <w:color w:val="000000"/>
        </w:rPr>
      </w:pPr>
    </w:p>
    <w:p w14:paraId="0E198AD5" w14:textId="54A82E7F" w:rsidR="003B1103" w:rsidRPr="00944C73" w:rsidRDefault="004D3CD6" w:rsidP="00944C73">
      <w:pPr>
        <w:keepNext/>
        <w:textAlignment w:val="baseline"/>
        <w:rPr>
          <w:rFonts w:ascii="Calibri" w:eastAsia="Times New Roman" w:hAnsi="Calibri" w:cs="Calibri"/>
          <w:color w:val="000000"/>
        </w:rPr>
      </w:pPr>
      <w:r w:rsidRPr="004D3CD6">
        <w:rPr>
          <w:rFonts w:ascii="Calibri" w:eastAsia="Times New Roman" w:hAnsi="Calibri" w:cs="Calibri"/>
          <w:color w:val="000000"/>
        </w:rPr>
        <w:t>IV.</w:t>
      </w:r>
      <w:r w:rsidRPr="004D3CD6">
        <w:rPr>
          <w:rFonts w:ascii="Calibri" w:eastAsia="Times New Roman" w:hAnsi="Calibri" w:cs="Calibri"/>
          <w:color w:val="000000"/>
        </w:rPr>
        <w:tab/>
      </w:r>
      <w:r w:rsidR="003B1103" w:rsidRPr="00944C73">
        <w:rPr>
          <w:rFonts w:ascii="Calibri" w:eastAsia="Times New Roman" w:hAnsi="Calibri" w:cs="Calibri"/>
          <w:color w:val="000000"/>
          <w:u w:val="single"/>
        </w:rPr>
        <w:t>Reporting</w:t>
      </w:r>
    </w:p>
    <w:p w14:paraId="7DEB9609" w14:textId="77777777" w:rsidR="003B1103" w:rsidRDefault="003B1103" w:rsidP="00671921">
      <w:pPr>
        <w:keepNext/>
        <w:textAlignment w:val="baseline"/>
        <w:rPr>
          <w:rFonts w:ascii="Calibri" w:eastAsia="Times New Roman" w:hAnsi="Calibri" w:cs="Calibri"/>
          <w:color w:val="000000"/>
        </w:rPr>
      </w:pPr>
    </w:p>
    <w:p w14:paraId="626FE04E" w14:textId="54F77B95" w:rsidR="00F917EB" w:rsidRDefault="007F57BC" w:rsidP="00373C6F">
      <w:pPr>
        <w:keepNext/>
        <w:textAlignment w:val="baseline"/>
        <w:rPr>
          <w:rFonts w:ascii="Calibri" w:eastAsia="Times New Roman" w:hAnsi="Calibri" w:cs="Calibri"/>
          <w:color w:val="000000"/>
        </w:rPr>
      </w:pPr>
      <w:r w:rsidRPr="00B1599C">
        <w:rPr>
          <w:rFonts w:ascii="Calibri" w:eastAsia="Times New Roman" w:hAnsi="Calibri" w:cs="Calibri"/>
          <w:color w:val="000000"/>
        </w:rPr>
        <w:t xml:space="preserve">All sites will be required to report data </w:t>
      </w:r>
      <w:r w:rsidR="00071207">
        <w:rPr>
          <w:rFonts w:ascii="Calibri" w:eastAsia="Times New Roman" w:hAnsi="Calibri" w:cs="Calibri"/>
          <w:color w:val="000000"/>
        </w:rPr>
        <w:t xml:space="preserve">to DPH </w:t>
      </w:r>
      <w:r w:rsidRPr="00B1599C">
        <w:rPr>
          <w:rFonts w:ascii="Calibri" w:eastAsia="Times New Roman" w:hAnsi="Calibri" w:cs="Calibri"/>
          <w:color w:val="000000"/>
        </w:rPr>
        <w:t xml:space="preserve">on a </w:t>
      </w:r>
      <w:r w:rsidR="00F030BC">
        <w:rPr>
          <w:rFonts w:ascii="Calibri" w:eastAsia="Times New Roman" w:hAnsi="Calibri" w:cs="Calibri"/>
          <w:color w:val="000000"/>
        </w:rPr>
        <w:t>weekly</w:t>
      </w:r>
      <w:r w:rsidRPr="00B1599C">
        <w:rPr>
          <w:rFonts w:ascii="Calibri" w:eastAsia="Times New Roman" w:hAnsi="Calibri" w:cs="Calibri"/>
          <w:color w:val="000000"/>
        </w:rPr>
        <w:t xml:space="preserve"> basis</w:t>
      </w:r>
      <w:r w:rsidR="002A2677">
        <w:rPr>
          <w:rFonts w:ascii="Calibri" w:eastAsia="Times New Roman" w:hAnsi="Calibri" w:cs="Calibri"/>
          <w:color w:val="000000"/>
        </w:rPr>
        <w:t xml:space="preserve"> no later than Fridays at 5 PM</w:t>
      </w:r>
      <w:r w:rsidRPr="00B1599C">
        <w:rPr>
          <w:rFonts w:ascii="Calibri" w:eastAsia="Times New Roman" w:hAnsi="Calibri" w:cs="Calibri"/>
          <w:color w:val="000000"/>
        </w:rPr>
        <w:t xml:space="preserve"> </w:t>
      </w:r>
      <w:r w:rsidR="00EE7DFD">
        <w:rPr>
          <w:rFonts w:ascii="Calibri" w:eastAsia="Times New Roman" w:hAnsi="Calibri" w:cs="Calibri"/>
          <w:color w:val="000000"/>
        </w:rPr>
        <w:t xml:space="preserve">via the Health Care Facility Reporting System (HCFRS) </w:t>
      </w:r>
      <w:r w:rsidR="00F030BC">
        <w:rPr>
          <w:rFonts w:ascii="Calibri" w:eastAsia="Times New Roman" w:hAnsi="Calibri" w:cs="Calibri"/>
          <w:color w:val="000000"/>
        </w:rPr>
        <w:t xml:space="preserve">to allow for identification of barriers </w:t>
      </w:r>
      <w:r w:rsidR="006C0184">
        <w:rPr>
          <w:rFonts w:ascii="Calibri" w:eastAsia="Times New Roman" w:hAnsi="Calibri" w:cs="Calibri"/>
          <w:color w:val="000000"/>
        </w:rPr>
        <w:t xml:space="preserve">to equitable distribution and possible </w:t>
      </w:r>
      <w:r w:rsidR="00A01A42">
        <w:rPr>
          <w:rFonts w:ascii="Calibri" w:eastAsia="Times New Roman" w:hAnsi="Calibri" w:cs="Calibri"/>
          <w:color w:val="000000"/>
        </w:rPr>
        <w:t>system improvements</w:t>
      </w:r>
      <w:r w:rsidR="006C0184">
        <w:rPr>
          <w:rFonts w:ascii="Calibri" w:eastAsia="Times New Roman" w:hAnsi="Calibri" w:cs="Calibri"/>
          <w:color w:val="000000"/>
        </w:rPr>
        <w:t xml:space="preserve">. </w:t>
      </w:r>
      <w:r w:rsidR="002A2677">
        <w:rPr>
          <w:rFonts w:ascii="Calibri" w:eastAsia="Times New Roman" w:hAnsi="Calibri" w:cs="Calibri"/>
          <w:color w:val="000000"/>
        </w:rPr>
        <w:t>Specific instructions may be found in the Therapeutics Data Collection memo dated December 16, 2020.</w:t>
      </w:r>
    </w:p>
    <w:p w14:paraId="502B2126" w14:textId="6C896D65" w:rsidR="00F127E7" w:rsidRDefault="00F127E7">
      <w:pPr>
        <w:rPr>
          <w:rFonts w:ascii="Calibri" w:eastAsia="Times New Roman" w:hAnsi="Calibri" w:cs="Times New Roman"/>
          <w:color w:val="050505"/>
        </w:rPr>
      </w:pPr>
    </w:p>
    <w:sectPr w:rsidR="00F127E7" w:rsidSect="00176AEF">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BBEA" w14:textId="77777777" w:rsidR="008A32B0" w:rsidRDefault="008A32B0" w:rsidP="00C932F0">
      <w:r>
        <w:separator/>
      </w:r>
    </w:p>
  </w:endnote>
  <w:endnote w:type="continuationSeparator" w:id="0">
    <w:p w14:paraId="166117ED" w14:textId="77777777" w:rsidR="008A32B0" w:rsidRDefault="008A32B0" w:rsidP="00C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9119104"/>
      <w:docPartObj>
        <w:docPartGallery w:val="Page Numbers (Bottom of Page)"/>
        <w:docPartUnique/>
      </w:docPartObj>
    </w:sdtPr>
    <w:sdtEndPr>
      <w:rPr>
        <w:rStyle w:val="PageNumber"/>
      </w:rPr>
    </w:sdtEndPr>
    <w:sdtContent>
      <w:p w14:paraId="70CD9C8A" w14:textId="3510A63B"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7F0B" w14:textId="77777777" w:rsidR="002621CA" w:rsidRDefault="0026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7913257"/>
      <w:docPartObj>
        <w:docPartGallery w:val="Page Numbers (Bottom of Page)"/>
        <w:docPartUnique/>
      </w:docPartObj>
    </w:sdtPr>
    <w:sdtEndPr>
      <w:rPr>
        <w:rStyle w:val="PageNumber"/>
      </w:rPr>
    </w:sdtEndPr>
    <w:sdtContent>
      <w:p w14:paraId="30B65B3C" w14:textId="68AA9E32"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674C">
          <w:rPr>
            <w:rStyle w:val="PageNumber"/>
            <w:noProof/>
          </w:rPr>
          <w:t>1</w:t>
        </w:r>
        <w:r>
          <w:rPr>
            <w:rStyle w:val="PageNumber"/>
          </w:rPr>
          <w:fldChar w:fldCharType="end"/>
        </w:r>
      </w:p>
    </w:sdtContent>
  </w:sdt>
  <w:p w14:paraId="0FD670E9" w14:textId="77777777" w:rsidR="002621CA" w:rsidRDefault="002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F5EF" w14:textId="77777777" w:rsidR="008A32B0" w:rsidRDefault="008A32B0" w:rsidP="00C932F0">
      <w:r>
        <w:separator/>
      </w:r>
    </w:p>
  </w:footnote>
  <w:footnote w:type="continuationSeparator" w:id="0">
    <w:p w14:paraId="4F0F1884" w14:textId="77777777" w:rsidR="008A32B0" w:rsidRDefault="008A32B0" w:rsidP="00C932F0">
      <w:r>
        <w:continuationSeparator/>
      </w:r>
    </w:p>
  </w:footnote>
  <w:footnote w:id="1">
    <w:p w14:paraId="11F06A60" w14:textId="6093C067" w:rsidR="004D3CD6" w:rsidRDefault="004D3CD6">
      <w:pPr>
        <w:pStyle w:val="FootnoteText"/>
      </w:pPr>
      <w:r>
        <w:rPr>
          <w:rStyle w:val="FootnoteReference"/>
        </w:rPr>
        <w:footnoteRef/>
      </w:r>
      <w:r>
        <w:t xml:space="preserve"> </w:t>
      </w:r>
      <w:r>
        <w:rPr>
          <w:rFonts w:ascii="Calibri" w:eastAsia="Times New Roman" w:hAnsi="Calibri" w:cs="Calibri"/>
          <w:color w:val="000000"/>
        </w:rPr>
        <w:t>This prioritization is based on the fact that age and</w:t>
      </w:r>
      <w:r w:rsidR="00A07F16">
        <w:rPr>
          <w:rFonts w:ascii="Calibri" w:eastAsia="Times New Roman" w:hAnsi="Calibri" w:cs="Calibri"/>
          <w:color w:val="000000"/>
        </w:rPr>
        <w:t xml:space="preserve"> elevated</w:t>
      </w:r>
      <w:r>
        <w:rPr>
          <w:rFonts w:ascii="Calibri" w:eastAsia="Times New Roman" w:hAnsi="Calibri" w:cs="Calibri"/>
          <w:color w:val="000000"/>
        </w:rPr>
        <w:t xml:space="preserve"> BMI have both been demonstrated to be associated with poor outcomes including hospitalization, critical illness and death in </w:t>
      </w:r>
      <w:r w:rsidR="007B5D74">
        <w:rPr>
          <w:rFonts w:ascii="Calibri" w:eastAsia="Times New Roman" w:hAnsi="Calibri" w:cs="Calibri"/>
          <w:color w:val="000000"/>
        </w:rPr>
        <w:t>COVID</w:t>
      </w:r>
      <w:r>
        <w:rPr>
          <w:rFonts w:ascii="Calibri" w:eastAsia="Times New Roman" w:hAnsi="Calibri" w:cs="Calibri"/>
          <w:color w:val="000000"/>
        </w:rPr>
        <w:t xml:space="preserve">-19 patients, and the fact that the evidence on which the EUA for bamlanivimab is based suggested increased benefit in patients with these characteristics. </w:t>
      </w:r>
      <w:r w:rsidRPr="00066B18">
        <w:rPr>
          <w:rFonts w:eastAsia="Times New Roman" w:cs="Arial"/>
          <w:color w:val="222222"/>
          <w:shd w:val="clear" w:color="auto" w:fill="FFFFFF"/>
        </w:rPr>
        <w:t>Chen, Peter, et al. "SARS-CoV-2 Neutralizing Antibody LY-CoV555 in Outpatients with Covid-19." </w:t>
      </w:r>
      <w:r w:rsidRPr="00066B18">
        <w:rPr>
          <w:rFonts w:eastAsia="Times New Roman" w:cs="Arial"/>
          <w:i/>
          <w:iCs/>
          <w:color w:val="222222"/>
          <w:shd w:val="clear" w:color="auto" w:fill="FFFFFF"/>
        </w:rPr>
        <w:t>New England Journal of Medicine</w:t>
      </w:r>
      <w:r w:rsidRPr="00066B18">
        <w:rPr>
          <w:rFonts w:eastAsia="Times New Roman" w:cs="Arial"/>
          <w:color w:val="222222"/>
          <w:shd w:val="clear" w:color="auto" w:fill="FFFFFF"/>
        </w:rPr>
        <w:t> (2020).</w:t>
      </w:r>
    </w:p>
  </w:footnote>
  <w:footnote w:id="2">
    <w:p w14:paraId="32742EF5" w14:textId="77777777" w:rsidR="00462716" w:rsidRPr="007B5D74" w:rsidRDefault="00462716" w:rsidP="00462716">
      <w:pPr>
        <w:textAlignment w:val="baseline"/>
        <w:rPr>
          <w:rFonts w:ascii="Calibri" w:eastAsia="Times New Roman" w:hAnsi="Calibri" w:cs="Calibri"/>
          <w:color w:val="000000"/>
          <w:sz w:val="20"/>
          <w:szCs w:val="20"/>
        </w:rPr>
      </w:pPr>
      <w:r>
        <w:rPr>
          <w:rStyle w:val="FootnoteReference"/>
        </w:rPr>
        <w:footnoteRef/>
      </w:r>
      <w:r>
        <w:t xml:space="preserve"> </w:t>
      </w:r>
      <w:r w:rsidRPr="007B5D74">
        <w:rPr>
          <w:rFonts w:ascii="Calibri" w:eastAsia="Times New Roman" w:hAnsi="Calibri" w:cs="Calibri"/>
          <w:color w:val="000000"/>
          <w:sz w:val="20"/>
          <w:szCs w:val="20"/>
        </w:rPr>
        <w:t>The prioritization of socially vulnerable patients is based on multiple considerations, including substantially higher risk of hospitalization and death from C</w:t>
      </w:r>
      <w:r>
        <w:rPr>
          <w:rFonts w:ascii="Calibri" w:eastAsia="Times New Roman" w:hAnsi="Calibri" w:cs="Calibri"/>
          <w:color w:val="000000"/>
          <w:sz w:val="20"/>
          <w:szCs w:val="20"/>
        </w:rPr>
        <w:t>OVID</w:t>
      </w:r>
      <w:r w:rsidRPr="007B5D74">
        <w:rPr>
          <w:rFonts w:ascii="Calibri" w:eastAsia="Times New Roman" w:hAnsi="Calibri" w:cs="Calibri"/>
          <w:color w:val="000000"/>
          <w:sz w:val="20"/>
          <w:szCs w:val="20"/>
        </w:rPr>
        <w:t xml:space="preserve">-19 in these patients and public health considerations that favor mitigating disease in the hardest hit areas. </w:t>
      </w:r>
      <w:r>
        <w:rPr>
          <w:rFonts w:ascii="Calibri" w:eastAsia="Times New Roman" w:hAnsi="Calibri" w:cs="Calibri"/>
          <w:color w:val="000000"/>
          <w:sz w:val="20"/>
          <w:szCs w:val="20"/>
        </w:rPr>
        <w:t xml:space="preserve"> </w:t>
      </w:r>
      <w:r w:rsidRPr="007B5D74">
        <w:rPr>
          <w:rFonts w:ascii="Calibri" w:eastAsia="Times New Roman" w:hAnsi="Calibri" w:cs="Calibri"/>
          <w:color w:val="000000"/>
          <w:sz w:val="20"/>
          <w:szCs w:val="20"/>
        </w:rPr>
        <w:t>In the state of Massachusetts, for the two weeks ending November 11,</w:t>
      </w:r>
      <w:r>
        <w:rPr>
          <w:rFonts w:ascii="Calibri" w:eastAsia="Times New Roman" w:hAnsi="Calibri" w:cs="Calibri"/>
          <w:color w:val="000000"/>
          <w:sz w:val="20"/>
          <w:szCs w:val="20"/>
        </w:rPr>
        <w:t xml:space="preserve"> 2020,</w:t>
      </w:r>
      <w:r w:rsidRPr="007B5D74">
        <w:rPr>
          <w:rFonts w:ascii="Calibri" w:eastAsia="Times New Roman" w:hAnsi="Calibri" w:cs="Calibri"/>
          <w:color w:val="000000"/>
          <w:sz w:val="20"/>
          <w:szCs w:val="20"/>
        </w:rPr>
        <w:t xml:space="preserve"> people from a census tract with SVI &gt;50% represented 60.3% of the total C</w:t>
      </w:r>
      <w:r>
        <w:rPr>
          <w:rFonts w:ascii="Calibri" w:eastAsia="Times New Roman" w:hAnsi="Calibri" w:cs="Calibri"/>
          <w:color w:val="000000"/>
          <w:sz w:val="20"/>
          <w:szCs w:val="20"/>
        </w:rPr>
        <w:t>OVID</w:t>
      </w:r>
      <w:r w:rsidRPr="007B5D74">
        <w:rPr>
          <w:rFonts w:ascii="Calibri" w:eastAsia="Times New Roman" w:hAnsi="Calibri" w:cs="Calibri"/>
          <w:color w:val="000000"/>
          <w:sz w:val="20"/>
          <w:szCs w:val="20"/>
        </w:rPr>
        <w:t>-19 cases (and 46% of the population). People from a census tract with SVI &gt; 75% represented 33.2% of the total cases (and 18.7%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4776" w14:textId="30BB278D" w:rsidR="00BC48AA" w:rsidRPr="00C932F0" w:rsidRDefault="004568E2">
    <w:pPr>
      <w:pStyle w:val="Head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F31"/>
    <w:multiLevelType w:val="hybridMultilevel"/>
    <w:tmpl w:val="001A4C8C"/>
    <w:lvl w:ilvl="0" w:tplc="E9422F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C7E68"/>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A4A78"/>
    <w:multiLevelType w:val="hybridMultilevel"/>
    <w:tmpl w:val="B8F4EA16"/>
    <w:lvl w:ilvl="0" w:tplc="88546E1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2845"/>
    <w:multiLevelType w:val="hybridMultilevel"/>
    <w:tmpl w:val="7F5C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78B4"/>
    <w:multiLevelType w:val="hybridMultilevel"/>
    <w:tmpl w:val="1F9AD82E"/>
    <w:lvl w:ilvl="0" w:tplc="4066F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5EBE"/>
    <w:multiLevelType w:val="hybridMultilevel"/>
    <w:tmpl w:val="FEE09662"/>
    <w:lvl w:ilvl="0" w:tplc="04E042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0A71D8"/>
    <w:multiLevelType w:val="multilevel"/>
    <w:tmpl w:val="786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20AF9"/>
    <w:multiLevelType w:val="hybridMultilevel"/>
    <w:tmpl w:val="3EBC2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003218"/>
    <w:multiLevelType w:val="hybridMultilevel"/>
    <w:tmpl w:val="D99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27E0"/>
    <w:multiLevelType w:val="hybridMultilevel"/>
    <w:tmpl w:val="6A629FA2"/>
    <w:lvl w:ilvl="0" w:tplc="76F63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EFF"/>
    <w:multiLevelType w:val="hybridMultilevel"/>
    <w:tmpl w:val="82940BB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C411C4"/>
    <w:multiLevelType w:val="hybridMultilevel"/>
    <w:tmpl w:val="A380FB72"/>
    <w:lvl w:ilvl="0" w:tplc="1F763458">
      <w:start w:val="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66C0C"/>
    <w:multiLevelType w:val="hybridMultilevel"/>
    <w:tmpl w:val="C9C8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90439"/>
    <w:multiLevelType w:val="hybridMultilevel"/>
    <w:tmpl w:val="9B0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42226"/>
    <w:multiLevelType w:val="multilevel"/>
    <w:tmpl w:val="633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42630"/>
    <w:multiLevelType w:val="hybridMultilevel"/>
    <w:tmpl w:val="49B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9"/>
  </w:num>
  <w:num w:numId="5">
    <w:abstractNumId w:val="13"/>
  </w:num>
  <w:num w:numId="6">
    <w:abstractNumId w:val="2"/>
  </w:num>
  <w:num w:numId="7">
    <w:abstractNumId w:val="10"/>
  </w:num>
  <w:num w:numId="8">
    <w:abstractNumId w:val="4"/>
  </w:num>
  <w:num w:numId="9">
    <w:abstractNumId w:val="0"/>
  </w:num>
  <w:num w:numId="10">
    <w:abstractNumId w:val="1"/>
  </w:num>
  <w:num w:numId="11">
    <w:abstractNumId w:val="12"/>
  </w:num>
  <w:num w:numId="12">
    <w:abstractNumId w:val="5"/>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1"/>
    <w:rsid w:val="00004F5D"/>
    <w:rsid w:val="00066B18"/>
    <w:rsid w:val="00071207"/>
    <w:rsid w:val="0008674C"/>
    <w:rsid w:val="00096D6D"/>
    <w:rsid w:val="000A1886"/>
    <w:rsid w:val="000C37CB"/>
    <w:rsid w:val="000F141B"/>
    <w:rsid w:val="000F23A0"/>
    <w:rsid w:val="00121DF0"/>
    <w:rsid w:val="001226BF"/>
    <w:rsid w:val="001271B2"/>
    <w:rsid w:val="00176AEF"/>
    <w:rsid w:val="00186EA6"/>
    <w:rsid w:val="001A2DB9"/>
    <w:rsid w:val="001B5021"/>
    <w:rsid w:val="001D6224"/>
    <w:rsid w:val="001F39AE"/>
    <w:rsid w:val="001F41C0"/>
    <w:rsid w:val="002065D3"/>
    <w:rsid w:val="00215689"/>
    <w:rsid w:val="002621CA"/>
    <w:rsid w:val="002A2677"/>
    <w:rsid w:val="002C6563"/>
    <w:rsid w:val="002E3DFF"/>
    <w:rsid w:val="002F0AE5"/>
    <w:rsid w:val="002F53B0"/>
    <w:rsid w:val="00317A03"/>
    <w:rsid w:val="0036026B"/>
    <w:rsid w:val="0037223E"/>
    <w:rsid w:val="00373C6F"/>
    <w:rsid w:val="00373D0E"/>
    <w:rsid w:val="0039046C"/>
    <w:rsid w:val="00393D24"/>
    <w:rsid w:val="0039706D"/>
    <w:rsid w:val="003978B0"/>
    <w:rsid w:val="003A4586"/>
    <w:rsid w:val="003B1103"/>
    <w:rsid w:val="003C4502"/>
    <w:rsid w:val="003D2743"/>
    <w:rsid w:val="00400A1E"/>
    <w:rsid w:val="00414D94"/>
    <w:rsid w:val="00424A6E"/>
    <w:rsid w:val="00431207"/>
    <w:rsid w:val="004346A1"/>
    <w:rsid w:val="00437991"/>
    <w:rsid w:val="004568E2"/>
    <w:rsid w:val="00462716"/>
    <w:rsid w:val="00485A98"/>
    <w:rsid w:val="004B16E1"/>
    <w:rsid w:val="004D2560"/>
    <w:rsid w:val="004D3CD6"/>
    <w:rsid w:val="004D6C46"/>
    <w:rsid w:val="004F58F5"/>
    <w:rsid w:val="005124E6"/>
    <w:rsid w:val="0053252C"/>
    <w:rsid w:val="00564669"/>
    <w:rsid w:val="005A7016"/>
    <w:rsid w:val="005E3BF0"/>
    <w:rsid w:val="005F3812"/>
    <w:rsid w:val="00620D35"/>
    <w:rsid w:val="00622552"/>
    <w:rsid w:val="0064066E"/>
    <w:rsid w:val="00657D00"/>
    <w:rsid w:val="00663876"/>
    <w:rsid w:val="00666392"/>
    <w:rsid w:val="00671921"/>
    <w:rsid w:val="00676D29"/>
    <w:rsid w:val="00690424"/>
    <w:rsid w:val="006B7C7C"/>
    <w:rsid w:val="006C0184"/>
    <w:rsid w:val="006D0397"/>
    <w:rsid w:val="006D796E"/>
    <w:rsid w:val="00712E23"/>
    <w:rsid w:val="00712E91"/>
    <w:rsid w:val="00752AEA"/>
    <w:rsid w:val="00756BA0"/>
    <w:rsid w:val="0075716F"/>
    <w:rsid w:val="00777479"/>
    <w:rsid w:val="007803DE"/>
    <w:rsid w:val="00781DC3"/>
    <w:rsid w:val="00781E6A"/>
    <w:rsid w:val="007936B6"/>
    <w:rsid w:val="007B44DB"/>
    <w:rsid w:val="007B5D74"/>
    <w:rsid w:val="007D2931"/>
    <w:rsid w:val="007E6B83"/>
    <w:rsid w:val="007F0538"/>
    <w:rsid w:val="007F0CE6"/>
    <w:rsid w:val="007F57BC"/>
    <w:rsid w:val="00807CAB"/>
    <w:rsid w:val="00842DB0"/>
    <w:rsid w:val="00866FCC"/>
    <w:rsid w:val="008738D1"/>
    <w:rsid w:val="008A0024"/>
    <w:rsid w:val="008A32B0"/>
    <w:rsid w:val="008C54A1"/>
    <w:rsid w:val="008E3070"/>
    <w:rsid w:val="00903652"/>
    <w:rsid w:val="00944C73"/>
    <w:rsid w:val="009516D6"/>
    <w:rsid w:val="00953DC8"/>
    <w:rsid w:val="00956631"/>
    <w:rsid w:val="00964498"/>
    <w:rsid w:val="00966EA9"/>
    <w:rsid w:val="009675ED"/>
    <w:rsid w:val="009831C4"/>
    <w:rsid w:val="009946BF"/>
    <w:rsid w:val="00997DAE"/>
    <w:rsid w:val="009E430C"/>
    <w:rsid w:val="00A01A42"/>
    <w:rsid w:val="00A07F16"/>
    <w:rsid w:val="00A37DB2"/>
    <w:rsid w:val="00A53C4E"/>
    <w:rsid w:val="00A85F30"/>
    <w:rsid w:val="00A95CB3"/>
    <w:rsid w:val="00AA5345"/>
    <w:rsid w:val="00AB1DB7"/>
    <w:rsid w:val="00AB33FD"/>
    <w:rsid w:val="00AE12F9"/>
    <w:rsid w:val="00B02CC8"/>
    <w:rsid w:val="00B1556F"/>
    <w:rsid w:val="00B1599C"/>
    <w:rsid w:val="00B6110F"/>
    <w:rsid w:val="00BB13F6"/>
    <w:rsid w:val="00BC48AA"/>
    <w:rsid w:val="00BC6772"/>
    <w:rsid w:val="00BC6EAF"/>
    <w:rsid w:val="00BD14E1"/>
    <w:rsid w:val="00C137EF"/>
    <w:rsid w:val="00C53BDA"/>
    <w:rsid w:val="00C86CE1"/>
    <w:rsid w:val="00C932F0"/>
    <w:rsid w:val="00C949EA"/>
    <w:rsid w:val="00C96F8B"/>
    <w:rsid w:val="00CA0FE8"/>
    <w:rsid w:val="00CA2EF9"/>
    <w:rsid w:val="00CA7AF0"/>
    <w:rsid w:val="00CB2153"/>
    <w:rsid w:val="00CB2AB6"/>
    <w:rsid w:val="00CC6F33"/>
    <w:rsid w:val="00CC76E5"/>
    <w:rsid w:val="00CD19AE"/>
    <w:rsid w:val="00CF5044"/>
    <w:rsid w:val="00D0109A"/>
    <w:rsid w:val="00D11F54"/>
    <w:rsid w:val="00D17B4D"/>
    <w:rsid w:val="00D371EF"/>
    <w:rsid w:val="00D464B8"/>
    <w:rsid w:val="00D66D54"/>
    <w:rsid w:val="00DE7CE6"/>
    <w:rsid w:val="00DF02C9"/>
    <w:rsid w:val="00E14334"/>
    <w:rsid w:val="00E23B38"/>
    <w:rsid w:val="00E322B3"/>
    <w:rsid w:val="00E758BA"/>
    <w:rsid w:val="00E81BC5"/>
    <w:rsid w:val="00E90D7D"/>
    <w:rsid w:val="00ED1F36"/>
    <w:rsid w:val="00ED22F6"/>
    <w:rsid w:val="00ED7AE2"/>
    <w:rsid w:val="00EE2CC9"/>
    <w:rsid w:val="00EE7DFD"/>
    <w:rsid w:val="00F030BC"/>
    <w:rsid w:val="00F031E1"/>
    <w:rsid w:val="00F05A16"/>
    <w:rsid w:val="00F127E7"/>
    <w:rsid w:val="00F41035"/>
    <w:rsid w:val="00F6073A"/>
    <w:rsid w:val="00F646D6"/>
    <w:rsid w:val="00F73077"/>
    <w:rsid w:val="00F917EB"/>
    <w:rsid w:val="00F9313A"/>
    <w:rsid w:val="00FB1056"/>
    <w:rsid w:val="00FC49D6"/>
    <w:rsid w:val="00FD24CF"/>
    <w:rsid w:val="00FE0C46"/>
    <w:rsid w:val="00FF0122"/>
    <w:rsid w:val="00FF4060"/>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EF2"/>
  <w15:docId w15:val="{2FA704C9-F5AE-4CF3-828C-00A842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31"/>
    <w:pPr>
      <w:ind w:left="720"/>
      <w:contextualSpacing/>
    </w:pPr>
  </w:style>
  <w:style w:type="paragraph" w:styleId="Header">
    <w:name w:val="header"/>
    <w:basedOn w:val="Normal"/>
    <w:link w:val="HeaderChar"/>
    <w:uiPriority w:val="99"/>
    <w:unhideWhenUsed/>
    <w:rsid w:val="00C932F0"/>
    <w:pPr>
      <w:tabs>
        <w:tab w:val="center" w:pos="4680"/>
        <w:tab w:val="right" w:pos="9360"/>
      </w:tabs>
    </w:pPr>
  </w:style>
  <w:style w:type="character" w:customStyle="1" w:styleId="HeaderChar">
    <w:name w:val="Header Char"/>
    <w:basedOn w:val="DefaultParagraphFont"/>
    <w:link w:val="Header"/>
    <w:uiPriority w:val="99"/>
    <w:rsid w:val="00C932F0"/>
  </w:style>
  <w:style w:type="paragraph" w:styleId="Footer">
    <w:name w:val="footer"/>
    <w:basedOn w:val="Normal"/>
    <w:link w:val="FooterChar"/>
    <w:uiPriority w:val="99"/>
    <w:unhideWhenUsed/>
    <w:rsid w:val="00C932F0"/>
    <w:pPr>
      <w:tabs>
        <w:tab w:val="center" w:pos="4680"/>
        <w:tab w:val="right" w:pos="9360"/>
      </w:tabs>
    </w:pPr>
  </w:style>
  <w:style w:type="character" w:customStyle="1" w:styleId="FooterChar">
    <w:name w:val="Footer Char"/>
    <w:basedOn w:val="DefaultParagraphFont"/>
    <w:link w:val="Footer"/>
    <w:uiPriority w:val="99"/>
    <w:rsid w:val="00C932F0"/>
  </w:style>
  <w:style w:type="character" w:styleId="Hyperlink">
    <w:name w:val="Hyperlink"/>
    <w:basedOn w:val="DefaultParagraphFont"/>
    <w:uiPriority w:val="99"/>
    <w:unhideWhenUsed/>
    <w:rsid w:val="00F030BC"/>
    <w:rPr>
      <w:color w:val="0563C1" w:themeColor="hyperlink"/>
      <w:u w:val="single"/>
    </w:rPr>
  </w:style>
  <w:style w:type="character" w:customStyle="1" w:styleId="UnresolvedMention1">
    <w:name w:val="Unresolved Mention1"/>
    <w:basedOn w:val="DefaultParagraphFont"/>
    <w:uiPriority w:val="99"/>
    <w:semiHidden/>
    <w:unhideWhenUsed/>
    <w:rsid w:val="00F030BC"/>
    <w:rPr>
      <w:color w:val="605E5C"/>
      <w:shd w:val="clear" w:color="auto" w:fill="E1DFDD"/>
    </w:rPr>
  </w:style>
  <w:style w:type="character" w:styleId="FollowedHyperlink">
    <w:name w:val="FollowedHyperlink"/>
    <w:basedOn w:val="DefaultParagraphFont"/>
    <w:uiPriority w:val="99"/>
    <w:semiHidden/>
    <w:unhideWhenUsed/>
    <w:rsid w:val="00F030BC"/>
    <w:rPr>
      <w:color w:val="954F72" w:themeColor="followedHyperlink"/>
      <w:u w:val="single"/>
    </w:rPr>
  </w:style>
  <w:style w:type="character" w:styleId="PageNumber">
    <w:name w:val="page number"/>
    <w:basedOn w:val="DefaultParagraphFont"/>
    <w:uiPriority w:val="99"/>
    <w:semiHidden/>
    <w:unhideWhenUsed/>
    <w:rsid w:val="002621CA"/>
  </w:style>
  <w:style w:type="paragraph" w:styleId="NormalWeb">
    <w:name w:val="Normal (Web)"/>
    <w:basedOn w:val="Normal"/>
    <w:uiPriority w:val="99"/>
    <w:unhideWhenUsed/>
    <w:rsid w:val="00ED1F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1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5A16"/>
    <w:rPr>
      <w:sz w:val="16"/>
      <w:szCs w:val="16"/>
    </w:rPr>
  </w:style>
  <w:style w:type="paragraph" w:styleId="CommentText">
    <w:name w:val="annotation text"/>
    <w:basedOn w:val="Normal"/>
    <w:link w:val="CommentTextChar"/>
    <w:uiPriority w:val="99"/>
    <w:semiHidden/>
    <w:unhideWhenUsed/>
    <w:rsid w:val="00F05A16"/>
    <w:rPr>
      <w:sz w:val="20"/>
      <w:szCs w:val="20"/>
    </w:rPr>
  </w:style>
  <w:style w:type="character" w:customStyle="1" w:styleId="CommentTextChar">
    <w:name w:val="Comment Text Char"/>
    <w:basedOn w:val="DefaultParagraphFont"/>
    <w:link w:val="CommentText"/>
    <w:uiPriority w:val="99"/>
    <w:semiHidden/>
    <w:rsid w:val="00F05A16"/>
    <w:rPr>
      <w:sz w:val="20"/>
      <w:szCs w:val="20"/>
    </w:rPr>
  </w:style>
  <w:style w:type="paragraph" w:styleId="CommentSubject">
    <w:name w:val="annotation subject"/>
    <w:basedOn w:val="CommentText"/>
    <w:next w:val="CommentText"/>
    <w:link w:val="CommentSubjectChar"/>
    <w:uiPriority w:val="99"/>
    <w:semiHidden/>
    <w:unhideWhenUsed/>
    <w:rsid w:val="00F05A16"/>
    <w:rPr>
      <w:b/>
      <w:bCs/>
    </w:rPr>
  </w:style>
  <w:style w:type="character" w:customStyle="1" w:styleId="CommentSubjectChar">
    <w:name w:val="Comment Subject Char"/>
    <w:basedOn w:val="CommentTextChar"/>
    <w:link w:val="CommentSubject"/>
    <w:uiPriority w:val="99"/>
    <w:semiHidden/>
    <w:rsid w:val="00F05A16"/>
    <w:rPr>
      <w:b/>
      <w:bCs/>
      <w:sz w:val="20"/>
      <w:szCs w:val="20"/>
    </w:rPr>
  </w:style>
  <w:style w:type="paragraph" w:styleId="FootnoteText">
    <w:name w:val="footnote text"/>
    <w:basedOn w:val="Normal"/>
    <w:link w:val="FootnoteTextChar"/>
    <w:uiPriority w:val="99"/>
    <w:semiHidden/>
    <w:unhideWhenUsed/>
    <w:rsid w:val="004D3CD6"/>
    <w:rPr>
      <w:sz w:val="20"/>
      <w:szCs w:val="20"/>
    </w:rPr>
  </w:style>
  <w:style w:type="character" w:customStyle="1" w:styleId="FootnoteTextChar">
    <w:name w:val="Footnote Text Char"/>
    <w:basedOn w:val="DefaultParagraphFont"/>
    <w:link w:val="FootnoteText"/>
    <w:uiPriority w:val="99"/>
    <w:semiHidden/>
    <w:rsid w:val="004D3CD6"/>
    <w:rPr>
      <w:sz w:val="20"/>
      <w:szCs w:val="20"/>
    </w:rPr>
  </w:style>
  <w:style w:type="character" w:styleId="FootnoteReference">
    <w:name w:val="footnote reference"/>
    <w:basedOn w:val="DefaultParagraphFont"/>
    <w:uiPriority w:val="99"/>
    <w:semiHidden/>
    <w:unhideWhenUsed/>
    <w:rsid w:val="004D3CD6"/>
    <w:rPr>
      <w:vertAlign w:val="superscript"/>
    </w:rPr>
  </w:style>
  <w:style w:type="character" w:customStyle="1" w:styleId="UnresolvedMention2">
    <w:name w:val="Unresolved Mention2"/>
    <w:basedOn w:val="DefaultParagraphFont"/>
    <w:uiPriority w:val="99"/>
    <w:semiHidden/>
    <w:unhideWhenUsed/>
    <w:rsid w:val="00966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568">
      <w:bodyDiv w:val="1"/>
      <w:marLeft w:val="0"/>
      <w:marRight w:val="0"/>
      <w:marTop w:val="0"/>
      <w:marBottom w:val="0"/>
      <w:divBdr>
        <w:top w:val="none" w:sz="0" w:space="0" w:color="auto"/>
        <w:left w:val="none" w:sz="0" w:space="0" w:color="auto"/>
        <w:bottom w:val="none" w:sz="0" w:space="0" w:color="auto"/>
        <w:right w:val="none" w:sz="0" w:space="0" w:color="auto"/>
      </w:divBdr>
      <w:divsChild>
        <w:div w:id="160970572">
          <w:marLeft w:val="0"/>
          <w:marRight w:val="0"/>
          <w:marTop w:val="0"/>
          <w:marBottom w:val="0"/>
          <w:divBdr>
            <w:top w:val="none" w:sz="0" w:space="0" w:color="auto"/>
            <w:left w:val="none" w:sz="0" w:space="0" w:color="auto"/>
            <w:bottom w:val="none" w:sz="0" w:space="0" w:color="auto"/>
            <w:right w:val="none" w:sz="0" w:space="0" w:color="auto"/>
          </w:divBdr>
          <w:divsChild>
            <w:div w:id="1375497941">
              <w:marLeft w:val="0"/>
              <w:marRight w:val="0"/>
              <w:marTop w:val="0"/>
              <w:marBottom w:val="0"/>
              <w:divBdr>
                <w:top w:val="none" w:sz="0" w:space="0" w:color="auto"/>
                <w:left w:val="none" w:sz="0" w:space="0" w:color="auto"/>
                <w:bottom w:val="none" w:sz="0" w:space="0" w:color="auto"/>
                <w:right w:val="none" w:sz="0" w:space="0" w:color="auto"/>
              </w:divBdr>
              <w:divsChild>
                <w:div w:id="93325578">
                  <w:marLeft w:val="0"/>
                  <w:marRight w:val="0"/>
                  <w:marTop w:val="0"/>
                  <w:marBottom w:val="0"/>
                  <w:divBdr>
                    <w:top w:val="none" w:sz="0" w:space="0" w:color="auto"/>
                    <w:left w:val="none" w:sz="0" w:space="0" w:color="auto"/>
                    <w:bottom w:val="none" w:sz="0" w:space="0" w:color="auto"/>
                    <w:right w:val="none" w:sz="0" w:space="0" w:color="auto"/>
                  </w:divBdr>
                  <w:divsChild>
                    <w:div w:id="1083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495">
      <w:bodyDiv w:val="1"/>
      <w:marLeft w:val="0"/>
      <w:marRight w:val="0"/>
      <w:marTop w:val="0"/>
      <w:marBottom w:val="0"/>
      <w:divBdr>
        <w:top w:val="none" w:sz="0" w:space="0" w:color="auto"/>
        <w:left w:val="none" w:sz="0" w:space="0" w:color="auto"/>
        <w:bottom w:val="none" w:sz="0" w:space="0" w:color="auto"/>
        <w:right w:val="none" w:sz="0" w:space="0" w:color="auto"/>
      </w:divBdr>
    </w:div>
    <w:div w:id="237323485">
      <w:bodyDiv w:val="1"/>
      <w:marLeft w:val="0"/>
      <w:marRight w:val="0"/>
      <w:marTop w:val="0"/>
      <w:marBottom w:val="0"/>
      <w:divBdr>
        <w:top w:val="none" w:sz="0" w:space="0" w:color="auto"/>
        <w:left w:val="none" w:sz="0" w:space="0" w:color="auto"/>
        <w:bottom w:val="none" w:sz="0" w:space="0" w:color="auto"/>
        <w:right w:val="none" w:sz="0" w:space="0" w:color="auto"/>
      </w:divBdr>
    </w:div>
    <w:div w:id="562788399">
      <w:bodyDiv w:val="1"/>
      <w:marLeft w:val="0"/>
      <w:marRight w:val="0"/>
      <w:marTop w:val="0"/>
      <w:marBottom w:val="0"/>
      <w:divBdr>
        <w:top w:val="none" w:sz="0" w:space="0" w:color="auto"/>
        <w:left w:val="none" w:sz="0" w:space="0" w:color="auto"/>
        <w:bottom w:val="none" w:sz="0" w:space="0" w:color="auto"/>
        <w:right w:val="none" w:sz="0" w:space="0" w:color="auto"/>
      </w:divBdr>
    </w:div>
    <w:div w:id="721714752">
      <w:bodyDiv w:val="1"/>
      <w:marLeft w:val="0"/>
      <w:marRight w:val="0"/>
      <w:marTop w:val="0"/>
      <w:marBottom w:val="0"/>
      <w:divBdr>
        <w:top w:val="none" w:sz="0" w:space="0" w:color="auto"/>
        <w:left w:val="none" w:sz="0" w:space="0" w:color="auto"/>
        <w:bottom w:val="none" w:sz="0" w:space="0" w:color="auto"/>
        <w:right w:val="none" w:sz="0" w:space="0" w:color="auto"/>
      </w:divBdr>
    </w:div>
    <w:div w:id="134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34402948">
          <w:marLeft w:val="0"/>
          <w:marRight w:val="0"/>
          <w:marTop w:val="0"/>
          <w:marBottom w:val="0"/>
          <w:divBdr>
            <w:top w:val="none" w:sz="0" w:space="0" w:color="auto"/>
            <w:left w:val="none" w:sz="0" w:space="0" w:color="auto"/>
            <w:bottom w:val="none" w:sz="0" w:space="0" w:color="auto"/>
            <w:right w:val="none" w:sz="0" w:space="0" w:color="auto"/>
          </w:divBdr>
          <w:divsChild>
            <w:div w:id="892348317">
              <w:marLeft w:val="0"/>
              <w:marRight w:val="0"/>
              <w:marTop w:val="0"/>
              <w:marBottom w:val="0"/>
              <w:divBdr>
                <w:top w:val="none" w:sz="0" w:space="0" w:color="auto"/>
                <w:left w:val="none" w:sz="0" w:space="0" w:color="auto"/>
                <w:bottom w:val="none" w:sz="0" w:space="0" w:color="auto"/>
                <w:right w:val="none" w:sz="0" w:space="0" w:color="auto"/>
              </w:divBdr>
            </w:div>
          </w:divsChild>
        </w:div>
        <w:div w:id="277224432">
          <w:marLeft w:val="0"/>
          <w:marRight w:val="0"/>
          <w:marTop w:val="0"/>
          <w:marBottom w:val="0"/>
          <w:divBdr>
            <w:top w:val="none" w:sz="0" w:space="0" w:color="auto"/>
            <w:left w:val="none" w:sz="0" w:space="0" w:color="auto"/>
            <w:bottom w:val="none" w:sz="0" w:space="0" w:color="auto"/>
            <w:right w:val="none" w:sz="0" w:space="0" w:color="auto"/>
          </w:divBdr>
        </w:div>
        <w:div w:id="1246955845">
          <w:marLeft w:val="0"/>
          <w:marRight w:val="0"/>
          <w:marTop w:val="0"/>
          <w:marBottom w:val="0"/>
          <w:divBdr>
            <w:top w:val="none" w:sz="0" w:space="0" w:color="auto"/>
            <w:left w:val="none" w:sz="0" w:space="0" w:color="auto"/>
            <w:bottom w:val="none" w:sz="0" w:space="0" w:color="auto"/>
            <w:right w:val="none" w:sz="0" w:space="0" w:color="auto"/>
          </w:divBdr>
        </w:div>
        <w:div w:id="386496211">
          <w:marLeft w:val="0"/>
          <w:marRight w:val="0"/>
          <w:marTop w:val="0"/>
          <w:marBottom w:val="0"/>
          <w:divBdr>
            <w:top w:val="none" w:sz="0" w:space="0" w:color="auto"/>
            <w:left w:val="none" w:sz="0" w:space="0" w:color="auto"/>
            <w:bottom w:val="none" w:sz="0" w:space="0" w:color="auto"/>
            <w:right w:val="none" w:sz="0" w:space="0" w:color="auto"/>
          </w:divBdr>
        </w:div>
        <w:div w:id="597181177">
          <w:marLeft w:val="0"/>
          <w:marRight w:val="0"/>
          <w:marTop w:val="0"/>
          <w:marBottom w:val="0"/>
          <w:divBdr>
            <w:top w:val="none" w:sz="0" w:space="0" w:color="auto"/>
            <w:left w:val="none" w:sz="0" w:space="0" w:color="auto"/>
            <w:bottom w:val="none" w:sz="0" w:space="0" w:color="auto"/>
            <w:right w:val="none" w:sz="0" w:space="0" w:color="auto"/>
          </w:divBdr>
        </w:div>
        <w:div w:id="1981229656">
          <w:marLeft w:val="0"/>
          <w:marRight w:val="0"/>
          <w:marTop w:val="0"/>
          <w:marBottom w:val="0"/>
          <w:divBdr>
            <w:top w:val="none" w:sz="0" w:space="0" w:color="auto"/>
            <w:left w:val="none" w:sz="0" w:space="0" w:color="auto"/>
            <w:bottom w:val="none" w:sz="0" w:space="0" w:color="auto"/>
            <w:right w:val="none" w:sz="0" w:space="0" w:color="auto"/>
          </w:divBdr>
        </w:div>
        <w:div w:id="254556763">
          <w:marLeft w:val="0"/>
          <w:marRight w:val="0"/>
          <w:marTop w:val="0"/>
          <w:marBottom w:val="0"/>
          <w:divBdr>
            <w:top w:val="none" w:sz="0" w:space="0" w:color="auto"/>
            <w:left w:val="none" w:sz="0" w:space="0" w:color="auto"/>
            <w:bottom w:val="none" w:sz="0" w:space="0" w:color="auto"/>
            <w:right w:val="none" w:sz="0" w:space="0" w:color="auto"/>
          </w:divBdr>
        </w:div>
        <w:div w:id="1617566708">
          <w:marLeft w:val="0"/>
          <w:marRight w:val="0"/>
          <w:marTop w:val="0"/>
          <w:marBottom w:val="0"/>
          <w:divBdr>
            <w:top w:val="none" w:sz="0" w:space="0" w:color="auto"/>
            <w:left w:val="none" w:sz="0" w:space="0" w:color="auto"/>
            <w:bottom w:val="none" w:sz="0" w:space="0" w:color="auto"/>
            <w:right w:val="none" w:sz="0" w:space="0" w:color="auto"/>
          </w:divBdr>
        </w:div>
        <w:div w:id="2059161481">
          <w:marLeft w:val="0"/>
          <w:marRight w:val="0"/>
          <w:marTop w:val="0"/>
          <w:marBottom w:val="0"/>
          <w:divBdr>
            <w:top w:val="none" w:sz="0" w:space="0" w:color="auto"/>
            <w:left w:val="none" w:sz="0" w:space="0" w:color="auto"/>
            <w:bottom w:val="none" w:sz="0" w:space="0" w:color="auto"/>
            <w:right w:val="none" w:sz="0" w:space="0" w:color="auto"/>
          </w:divBdr>
        </w:div>
        <w:div w:id="1722249684">
          <w:marLeft w:val="0"/>
          <w:marRight w:val="0"/>
          <w:marTop w:val="0"/>
          <w:marBottom w:val="0"/>
          <w:divBdr>
            <w:top w:val="none" w:sz="0" w:space="0" w:color="auto"/>
            <w:left w:val="none" w:sz="0" w:space="0" w:color="auto"/>
            <w:bottom w:val="none" w:sz="0" w:space="0" w:color="auto"/>
            <w:right w:val="none" w:sz="0" w:space="0" w:color="auto"/>
          </w:divBdr>
        </w:div>
        <w:div w:id="1804034340">
          <w:marLeft w:val="0"/>
          <w:marRight w:val="0"/>
          <w:marTop w:val="0"/>
          <w:marBottom w:val="0"/>
          <w:divBdr>
            <w:top w:val="none" w:sz="0" w:space="0" w:color="auto"/>
            <w:left w:val="none" w:sz="0" w:space="0" w:color="auto"/>
            <w:bottom w:val="none" w:sz="0" w:space="0" w:color="auto"/>
            <w:right w:val="none" w:sz="0" w:space="0" w:color="auto"/>
          </w:divBdr>
        </w:div>
      </w:divsChild>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20455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da.gov/media/143605/download" TargetMode="External"/><Relationship Id="rId4" Type="http://schemas.openxmlformats.org/officeDocument/2006/relationships/settings" Target="settings.xml"/><Relationship Id="rId9" Type="http://schemas.openxmlformats.org/officeDocument/2006/relationships/hyperlink" Target="https://www.fda.gov/media/143602/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63B1-2F40-4363-9384-E1A7D3A2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Melissa Leccese</cp:lastModifiedBy>
  <cp:revision>2</cp:revision>
  <dcterms:created xsi:type="dcterms:W3CDTF">2021-02-05T15:53:00Z</dcterms:created>
  <dcterms:modified xsi:type="dcterms:W3CDTF">2021-02-05T15:53:00Z</dcterms:modified>
</cp:coreProperties>
</file>